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Theme="minorEastAsia"/>
          <w:b/>
          <w:sz w:val="32"/>
          <w:szCs w:val="32"/>
          <w:lang w:eastAsia="zh-CN"/>
        </w:rPr>
        <w:t>证券投资理论与实务</w:t>
      </w:r>
      <w:r>
        <w:rPr>
          <w:rFonts w:hint="eastAsia" w:ascii="宋体" w:hAnsi="宋体"/>
          <w:b/>
          <w:sz w:val="32"/>
          <w:szCs w:val="32"/>
          <w:lang w:eastAsia="zh-CN"/>
        </w:rPr>
        <w:t>》课程教学大纲</w:t>
      </w:r>
    </w:p>
    <w:tbl>
      <w:tblPr>
        <w:tblStyle w:val="9"/>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1350"/>
        <w:gridCol w:w="359"/>
        <w:gridCol w:w="618"/>
        <w:gridCol w:w="1483"/>
        <w:gridCol w:w="1630"/>
        <w:gridCol w:w="877"/>
        <w:gridCol w:w="688"/>
        <w:gridCol w:w="483"/>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课程名称：</w:t>
            </w:r>
            <w:r>
              <w:rPr>
                <w:rFonts w:hint="eastAsia" w:ascii="宋体" w:hAnsi="宋体" w:eastAsia="宋体"/>
                <w:sz w:val="21"/>
                <w:szCs w:val="21"/>
              </w:rPr>
              <w:t xml:space="preserve"> 证券投资理论与实务</w:t>
            </w:r>
          </w:p>
        </w:tc>
        <w:tc>
          <w:tcPr>
            <w:tcW w:w="476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必修</w:t>
            </w:r>
            <w:r>
              <w:rPr>
                <w:rFonts w:ascii="宋体" w:hAnsi="宋体" w:eastAsia="宋体"/>
                <w:sz w:val="21"/>
                <w:szCs w:val="21"/>
                <w:lang w:eastAsia="zh-CN"/>
              </w:rPr>
              <w:t>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课程英文名称：</w:t>
            </w:r>
            <w:r>
              <w:rPr>
                <w:rFonts w:hint="eastAsia" w:ascii="宋体" w:hAnsi="宋体" w:eastAsia="宋体"/>
                <w:sz w:val="21"/>
                <w:szCs w:val="21"/>
              </w:rPr>
              <w:t>The theory and practice of securities investment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val="en-US" w:eastAsia="zh-CN"/>
              </w:rPr>
              <w:t>54</w:t>
            </w:r>
            <w:r>
              <w:rPr>
                <w:rFonts w:hint="eastAsia" w:ascii="宋体" w:hAnsi="宋体" w:eastAsia="宋体"/>
                <w:sz w:val="21"/>
                <w:szCs w:val="21"/>
                <w:lang w:eastAsia="zh-CN"/>
              </w:rPr>
              <w:t>/</w:t>
            </w:r>
            <w:r>
              <w:rPr>
                <w:rFonts w:hint="eastAsia" w:ascii="宋体" w:hAnsi="宋体" w:eastAsia="宋体"/>
                <w:sz w:val="21"/>
                <w:szCs w:val="21"/>
                <w:lang w:val="en-US" w:eastAsia="zh-CN"/>
              </w:rPr>
              <w:t>3</w:t>
            </w:r>
            <w:r>
              <w:rPr>
                <w:rFonts w:hint="eastAsia" w:ascii="宋体" w:hAnsi="宋体" w:eastAsia="宋体"/>
                <w:sz w:val="21"/>
                <w:szCs w:val="21"/>
                <w:lang w:eastAsia="zh-CN"/>
              </w:rPr>
              <w:t>/</w:t>
            </w:r>
            <w:r>
              <w:rPr>
                <w:rFonts w:hint="eastAsia" w:ascii="宋体" w:hAnsi="宋体" w:eastAsia="宋体"/>
                <w:sz w:val="21"/>
                <w:szCs w:val="21"/>
                <w:lang w:val="en-US" w:eastAsia="zh-CN"/>
              </w:rPr>
              <w:t>3</w:t>
            </w:r>
          </w:p>
        </w:tc>
        <w:tc>
          <w:tcPr>
            <w:tcW w:w="476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 xml:space="preserve"> 经济学、货币银行学、高</w:t>
            </w:r>
            <w:r>
              <w:rPr>
                <w:rFonts w:ascii="宋体" w:hAnsi="宋体" w:eastAsia="宋体"/>
                <w:sz w:val="21"/>
                <w:szCs w:val="21"/>
                <w:lang w:eastAsia="zh-CN"/>
              </w:rPr>
              <w:t>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lang w:eastAsia="zh-CN"/>
              </w:rPr>
              <w:t>授课时间：</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理论课集</w:t>
            </w:r>
            <w:r>
              <w:rPr>
                <w:rFonts w:ascii="宋体" w:hAnsi="宋体" w:eastAsia="宋体"/>
                <w:sz w:val="21"/>
                <w:szCs w:val="21"/>
                <w:lang w:eastAsia="zh-CN"/>
              </w:rPr>
              <w:t>中授课：</w:t>
            </w:r>
          </w:p>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sz w:val="21"/>
                <w:szCs w:val="21"/>
                <w:lang w:val="en-US" w:eastAsia="zh-CN"/>
              </w:rPr>
              <w:t>15</w:t>
            </w:r>
            <w:r>
              <w:rPr>
                <w:rFonts w:hint="eastAsia" w:ascii="宋体" w:hAnsi="宋体" w:eastAsia="宋体"/>
                <w:sz w:val="21"/>
                <w:szCs w:val="21"/>
                <w:lang w:eastAsia="zh-CN"/>
              </w:rPr>
              <w:t>金融</w:t>
            </w:r>
            <w:r>
              <w:rPr>
                <w:rFonts w:hint="eastAsia" w:ascii="宋体" w:hAnsi="宋体" w:eastAsia="宋体"/>
                <w:sz w:val="21"/>
                <w:szCs w:val="21"/>
                <w:lang w:val="en-US" w:eastAsia="zh-CN"/>
              </w:rPr>
              <w:t>3、4班</w:t>
            </w:r>
            <w:r>
              <w:rPr>
                <w:rFonts w:hint="eastAsia" w:ascii="宋体" w:hAnsi="宋体" w:eastAsia="宋体"/>
                <w:sz w:val="21"/>
                <w:szCs w:val="21"/>
                <w:lang w:eastAsia="zh-CN"/>
              </w:rPr>
              <w:t>周一</w:t>
            </w:r>
            <w:r>
              <w:rPr>
                <w:rFonts w:hint="eastAsia" w:ascii="宋体" w:hAnsi="宋体" w:eastAsia="宋体"/>
                <w:sz w:val="21"/>
                <w:szCs w:val="21"/>
                <w:lang w:val="en-US" w:eastAsia="zh-CN"/>
              </w:rPr>
              <w:t>5、6、7</w:t>
            </w:r>
            <w:r>
              <w:rPr>
                <w:rFonts w:hint="eastAsia" w:ascii="宋体" w:hAnsi="宋体" w:eastAsia="宋体"/>
                <w:sz w:val="21"/>
                <w:szCs w:val="21"/>
                <w:lang w:eastAsia="zh-CN"/>
              </w:rPr>
              <w:t>节</w:t>
            </w:r>
          </w:p>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sz w:val="21"/>
                <w:szCs w:val="21"/>
                <w:lang w:val="en-US" w:eastAsia="zh-CN"/>
              </w:rPr>
              <w:t>15金融1、2班</w:t>
            </w:r>
            <w:r>
              <w:rPr>
                <w:rFonts w:hint="eastAsia" w:ascii="宋体" w:hAnsi="宋体" w:eastAsia="宋体"/>
                <w:sz w:val="21"/>
                <w:szCs w:val="21"/>
                <w:lang w:eastAsia="zh-CN"/>
              </w:rPr>
              <w:t>周</w:t>
            </w:r>
            <w:r>
              <w:rPr>
                <w:rFonts w:ascii="宋体" w:hAnsi="宋体" w:eastAsia="宋体"/>
                <w:sz w:val="21"/>
                <w:szCs w:val="21"/>
                <w:lang w:eastAsia="zh-CN"/>
              </w:rPr>
              <w:t>二</w:t>
            </w:r>
            <w:r>
              <w:rPr>
                <w:rFonts w:hint="eastAsia" w:ascii="宋体" w:hAnsi="宋体" w:eastAsia="宋体"/>
                <w:sz w:val="21"/>
                <w:szCs w:val="21"/>
                <w:lang w:val="en-US" w:eastAsia="zh-CN"/>
              </w:rPr>
              <w:t>5、6、7</w:t>
            </w:r>
            <w:r>
              <w:rPr>
                <w:rFonts w:hint="eastAsia" w:ascii="宋体" w:hAnsi="宋体" w:eastAsia="宋体"/>
                <w:sz w:val="21"/>
                <w:szCs w:val="21"/>
                <w:lang w:eastAsia="zh-CN"/>
              </w:rPr>
              <w:t>节</w:t>
            </w:r>
          </w:p>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sz w:val="21"/>
                <w:szCs w:val="21"/>
                <w:lang w:val="en-US" w:eastAsia="zh-CN"/>
              </w:rPr>
              <w:t>15金融5、6班</w:t>
            </w:r>
            <w:r>
              <w:rPr>
                <w:rFonts w:hint="eastAsia" w:ascii="宋体" w:hAnsi="宋体" w:eastAsia="宋体"/>
                <w:sz w:val="21"/>
                <w:szCs w:val="21"/>
                <w:lang w:eastAsia="zh-CN"/>
              </w:rPr>
              <w:t>周三</w:t>
            </w:r>
            <w:r>
              <w:rPr>
                <w:rFonts w:hint="eastAsia" w:ascii="宋体" w:hAnsi="宋体" w:eastAsia="宋体"/>
                <w:sz w:val="21"/>
                <w:szCs w:val="21"/>
                <w:lang w:val="en-US" w:eastAsia="zh-CN"/>
              </w:rPr>
              <w:t>5、6、7</w:t>
            </w:r>
            <w:r>
              <w:rPr>
                <w:rFonts w:hint="eastAsia" w:ascii="宋体" w:hAnsi="宋体" w:eastAsia="宋体"/>
                <w:sz w:val="21"/>
                <w:szCs w:val="21"/>
                <w:lang w:eastAsia="zh-CN"/>
              </w:rPr>
              <w:t>节</w:t>
            </w:r>
          </w:p>
          <w:p>
            <w:pPr>
              <w:tabs>
                <w:tab w:val="left" w:pos="1440"/>
              </w:tabs>
              <w:spacing w:after="0"/>
              <w:outlineLvl w:val="0"/>
              <w:rPr>
                <w:rFonts w:ascii="宋体" w:hAnsi="宋体" w:eastAsia="宋体"/>
                <w:sz w:val="21"/>
                <w:szCs w:val="21"/>
                <w:lang w:eastAsia="zh-CN"/>
              </w:rPr>
            </w:pPr>
            <w:r>
              <w:rPr>
                <w:rFonts w:hint="eastAsia" w:ascii="宋体" w:hAnsi="宋体" w:eastAsia="宋体"/>
                <w:sz w:val="21"/>
                <w:szCs w:val="21"/>
                <w:lang w:val="en-US" w:eastAsia="zh-CN"/>
              </w:rPr>
              <w:t>第5周至第15周单周一、二、三的5、6、7节上实验课</w:t>
            </w:r>
            <w:r>
              <w:rPr>
                <w:rFonts w:hint="eastAsia" w:ascii="宋体" w:hAnsi="宋体" w:eastAsia="宋体"/>
                <w:sz w:val="21"/>
                <w:szCs w:val="21"/>
                <w:lang w:eastAsia="zh-CN"/>
              </w:rPr>
              <w:t>。</w:t>
            </w:r>
          </w:p>
        </w:tc>
        <w:tc>
          <w:tcPr>
            <w:tcW w:w="4760" w:type="dxa"/>
            <w:gridSpan w:val="5"/>
            <w:vAlign w:val="center"/>
          </w:tcPr>
          <w:p>
            <w:p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lang w:eastAsia="zh-CN"/>
              </w:rPr>
              <w:t>授课地点：</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理论课集</w:t>
            </w:r>
            <w:r>
              <w:rPr>
                <w:rFonts w:ascii="宋体" w:hAnsi="宋体" w:eastAsia="宋体"/>
                <w:sz w:val="21"/>
                <w:szCs w:val="21"/>
                <w:lang w:eastAsia="zh-CN"/>
              </w:rPr>
              <w:t>中授课：</w:t>
            </w:r>
          </w:p>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2号楼</w:t>
            </w:r>
            <w:r>
              <w:rPr>
                <w:rFonts w:ascii="宋体" w:hAnsi="宋体" w:eastAsia="宋体"/>
                <w:sz w:val="21"/>
                <w:szCs w:val="21"/>
                <w:lang w:eastAsia="zh-CN"/>
              </w:rPr>
              <w:t>-</w:t>
            </w:r>
            <w:r>
              <w:rPr>
                <w:rFonts w:hint="eastAsia" w:ascii="宋体" w:hAnsi="宋体" w:eastAsia="宋体"/>
                <w:sz w:val="21"/>
                <w:szCs w:val="21"/>
                <w:lang w:val="en-US" w:eastAsia="zh-CN"/>
              </w:rPr>
              <w:t>2407</w:t>
            </w:r>
          </w:p>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2号楼</w:t>
            </w:r>
            <w:r>
              <w:rPr>
                <w:rFonts w:ascii="宋体" w:hAnsi="宋体" w:eastAsia="宋体"/>
                <w:sz w:val="21"/>
                <w:szCs w:val="21"/>
                <w:lang w:eastAsia="zh-CN"/>
              </w:rPr>
              <w:t>-</w:t>
            </w:r>
            <w:r>
              <w:rPr>
                <w:rFonts w:hint="eastAsia" w:ascii="宋体" w:hAnsi="宋体" w:eastAsia="宋体"/>
                <w:sz w:val="21"/>
                <w:szCs w:val="21"/>
                <w:lang w:val="en-US" w:eastAsia="zh-CN"/>
              </w:rPr>
              <w:t>2407</w:t>
            </w:r>
          </w:p>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2号楼</w:t>
            </w:r>
            <w:r>
              <w:rPr>
                <w:rFonts w:ascii="宋体" w:hAnsi="宋体" w:eastAsia="宋体"/>
                <w:sz w:val="21"/>
                <w:szCs w:val="21"/>
                <w:lang w:eastAsia="zh-CN"/>
              </w:rPr>
              <w:t>-</w:t>
            </w:r>
            <w:r>
              <w:rPr>
                <w:rFonts w:hint="eastAsia" w:ascii="宋体" w:hAnsi="宋体" w:eastAsia="宋体"/>
                <w:sz w:val="21"/>
                <w:szCs w:val="21"/>
                <w:lang w:val="en-US" w:eastAsia="zh-CN"/>
              </w:rPr>
              <w:t>2407</w:t>
            </w:r>
          </w:p>
          <w:p>
            <w:pPr>
              <w:tabs>
                <w:tab w:val="left" w:pos="1440"/>
              </w:tabs>
              <w:spacing w:after="0"/>
              <w:outlineLvl w:val="0"/>
              <w:rPr>
                <w:rFonts w:ascii="宋体" w:hAnsi="宋体" w:eastAsia="宋体"/>
                <w:sz w:val="21"/>
                <w:szCs w:val="21"/>
                <w:lang w:eastAsia="zh-CN"/>
              </w:rPr>
            </w:pPr>
            <w:r>
              <w:rPr>
                <w:rFonts w:hint="eastAsia" w:ascii="宋体" w:hAnsi="宋体" w:eastAsia="宋体"/>
                <w:sz w:val="21"/>
                <w:szCs w:val="21"/>
                <w:lang w:val="en-US" w:eastAsia="zh-CN"/>
              </w:rPr>
              <w:t>第5周至第15周单周在粤台学院实验大楼四楼上实验课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hint="eastAsia" w:ascii="宋体" w:hAnsi="宋体" w:eastAsia="宋体"/>
                <w:sz w:val="21"/>
                <w:szCs w:val="21"/>
                <w:lang w:eastAsia="zh-CN"/>
              </w:rPr>
              <w:t>201</w:t>
            </w:r>
            <w:r>
              <w:rPr>
                <w:rFonts w:hint="eastAsia" w:ascii="宋体" w:hAnsi="宋体" w:eastAsia="宋体"/>
                <w:sz w:val="21"/>
                <w:szCs w:val="21"/>
                <w:lang w:val="en-US" w:eastAsia="zh-CN"/>
              </w:rPr>
              <w:t>5</w:t>
            </w:r>
            <w:r>
              <w:rPr>
                <w:rFonts w:hint="eastAsia" w:ascii="宋体" w:hAnsi="宋体" w:eastAsia="宋体"/>
                <w:sz w:val="21"/>
                <w:szCs w:val="21"/>
                <w:lang w:eastAsia="zh-CN"/>
              </w:rPr>
              <w:t>级金融</w:t>
            </w:r>
            <w:r>
              <w:rPr>
                <w:rFonts w:ascii="宋体" w:hAnsi="宋体" w:eastAsia="宋体"/>
                <w:sz w:val="21"/>
                <w:szCs w:val="21"/>
                <w:lang w:eastAsia="zh-CN"/>
              </w:rPr>
              <w:t>专业</w:t>
            </w:r>
            <w:r>
              <w:rPr>
                <w:rFonts w:hint="eastAsia" w:ascii="宋体" w:hAnsi="宋体" w:eastAsia="宋体"/>
                <w:sz w:val="21"/>
                <w:szCs w:val="21"/>
                <w:lang w:eastAsia="zh-CN"/>
              </w:rPr>
              <w:t>1-</w:t>
            </w:r>
            <w:r>
              <w:rPr>
                <w:rFonts w:hint="eastAsia" w:ascii="宋体" w:hAnsi="宋体" w:eastAsia="宋体"/>
                <w:sz w:val="21"/>
                <w:szCs w:val="21"/>
                <w:lang w:val="en-US" w:eastAsia="zh-CN"/>
              </w:rPr>
              <w:t>6</w:t>
            </w:r>
            <w:r>
              <w:rPr>
                <w:rFonts w:hint="eastAsia" w:ascii="宋体" w:hAnsi="宋体" w:eastAsia="宋体"/>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 xml:space="preserve"> 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龙卫洋/教授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联系电话：</w:t>
            </w:r>
            <w:r>
              <w:rPr>
                <w:rFonts w:hint="eastAsia" w:ascii="宋体" w:hAnsi="宋体" w:eastAsia="宋体"/>
                <w:sz w:val="21"/>
                <w:szCs w:val="21"/>
                <w:lang w:eastAsia="zh-CN"/>
              </w:rPr>
              <w:t>龙卫洋(</w:t>
            </w:r>
            <w:r>
              <w:rPr>
                <w:rFonts w:hint="eastAsia" w:ascii="宋体" w:hAnsi="宋体" w:eastAsia="宋体"/>
                <w:sz w:val="21"/>
                <w:szCs w:val="21"/>
                <w:lang w:val="en-US" w:eastAsia="zh-CN"/>
              </w:rPr>
              <w:t>13528584566</w:t>
            </w:r>
            <w:r>
              <w:rPr>
                <w:rFonts w:ascii="宋体" w:hAnsi="宋体" w:eastAsia="宋体"/>
                <w:sz w:val="21"/>
                <w:szCs w:val="21"/>
                <w:lang w:eastAsia="zh-CN"/>
              </w:rPr>
              <w:t>)</w:t>
            </w:r>
          </w:p>
        </w:tc>
        <w:tc>
          <w:tcPr>
            <w:tcW w:w="4760" w:type="dxa"/>
            <w:gridSpan w:val="5"/>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454719937@qq.com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课</w:t>
            </w:r>
            <w:r>
              <w:rPr>
                <w:rFonts w:ascii="宋体" w:hAnsi="宋体" w:eastAsia="宋体"/>
                <w:sz w:val="21"/>
                <w:szCs w:val="21"/>
                <w:lang w:eastAsia="zh-CN"/>
              </w:rPr>
              <w:t>前、课后</w:t>
            </w:r>
            <w:r>
              <w:rPr>
                <w:rFonts w:hint="eastAsia" w:ascii="宋体" w:hAnsi="宋体" w:eastAsia="宋体"/>
                <w:sz w:val="21"/>
                <w:szCs w:val="21"/>
                <w:lang w:eastAsia="zh-CN"/>
              </w:rPr>
              <w:t>，教室</w:t>
            </w:r>
            <w:r>
              <w:rPr>
                <w:rFonts w:ascii="宋体" w:hAnsi="宋体" w:eastAsia="宋体"/>
                <w:sz w:val="21"/>
                <w:szCs w:val="21"/>
                <w:lang w:eastAsia="zh-CN"/>
              </w:rPr>
              <w:t>，</w:t>
            </w:r>
            <w:r>
              <w:rPr>
                <w:rFonts w:hint="eastAsia" w:ascii="宋体" w:hAnsi="宋体" w:eastAsia="宋体"/>
                <w:sz w:val="21"/>
                <w:szCs w:val="21"/>
                <w:lang w:eastAsia="zh-CN"/>
              </w:rPr>
              <w:t>微信</w:t>
            </w:r>
            <w:r>
              <w:rPr>
                <w:rFonts w:ascii="宋体" w:hAnsi="宋体" w:eastAsia="宋体"/>
                <w:sz w:val="21"/>
                <w:szCs w:val="21"/>
                <w:lang w:eastAsia="zh-CN"/>
              </w:rPr>
              <w:t>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Cs/>
                <w:sz w:val="21"/>
                <w:szCs w:val="21"/>
                <w:lang w:eastAsia="zh-CN"/>
              </w:rPr>
              <w:t>高广阔等主编，《证券投资学》，上海财经大学出版社，</w:t>
            </w:r>
            <w:r>
              <w:rPr>
                <w:rFonts w:hint="eastAsia" w:ascii="宋体" w:hAnsi="宋体" w:eastAsia="宋体"/>
                <w:bCs/>
                <w:sz w:val="21"/>
                <w:szCs w:val="21"/>
                <w:lang w:val="en-US" w:eastAsia="zh-CN"/>
              </w:rPr>
              <w:t>2016</w:t>
            </w:r>
          </w:p>
          <w:p>
            <w:pPr>
              <w:tabs>
                <w:tab w:val="left" w:pos="1440"/>
              </w:tabs>
              <w:spacing w:after="0"/>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numPr>
                <w:ilvl w:val="0"/>
                <w:numId w:val="1"/>
              </w:numPr>
              <w:tabs>
                <w:tab w:val="left" w:pos="1440"/>
              </w:tabs>
              <w:spacing w:after="0"/>
              <w:outlineLvl w:val="0"/>
              <w:rPr>
                <w:rFonts w:hint="eastAsia" w:ascii="宋体" w:hAnsi="宋体" w:eastAsia="宋体"/>
                <w:bCs/>
                <w:sz w:val="21"/>
                <w:szCs w:val="21"/>
                <w:lang w:eastAsia="zh-CN"/>
              </w:rPr>
            </w:pPr>
            <w:r>
              <w:rPr>
                <w:rFonts w:hint="eastAsia" w:ascii="宋体" w:hAnsi="宋体" w:eastAsia="宋体"/>
                <w:bCs/>
                <w:sz w:val="21"/>
                <w:szCs w:val="21"/>
                <w:lang w:eastAsia="zh-CN"/>
              </w:rPr>
              <w:t>吴晓求，《证券投资学》20</w:t>
            </w:r>
            <w:r>
              <w:rPr>
                <w:rFonts w:hint="eastAsia" w:ascii="宋体" w:hAnsi="宋体" w:eastAsia="宋体"/>
                <w:bCs/>
                <w:sz w:val="21"/>
                <w:szCs w:val="21"/>
                <w:lang w:val="en-US" w:eastAsia="zh-CN"/>
              </w:rPr>
              <w:t>17</w:t>
            </w:r>
            <w:r>
              <w:rPr>
                <w:rFonts w:hint="eastAsia" w:ascii="宋体" w:hAnsi="宋体" w:eastAsia="宋体"/>
                <w:bCs/>
                <w:sz w:val="21"/>
                <w:szCs w:val="21"/>
                <w:lang w:eastAsia="zh-CN"/>
              </w:rPr>
              <w:t>年9月第</w:t>
            </w:r>
            <w:r>
              <w:rPr>
                <w:rFonts w:hint="eastAsia" w:ascii="宋体" w:hAnsi="宋体" w:eastAsia="宋体"/>
                <w:bCs/>
                <w:sz w:val="21"/>
                <w:szCs w:val="21"/>
                <w:lang w:val="en-US" w:eastAsia="zh-CN"/>
              </w:rPr>
              <w:t>四</w:t>
            </w:r>
            <w:r>
              <w:rPr>
                <w:rFonts w:hint="eastAsia" w:ascii="宋体" w:hAnsi="宋体" w:eastAsia="宋体"/>
                <w:bCs/>
                <w:sz w:val="21"/>
                <w:szCs w:val="21"/>
                <w:lang w:eastAsia="zh-CN"/>
              </w:rPr>
              <w:t>版，中国人民大学出版社；</w:t>
            </w:r>
          </w:p>
          <w:p>
            <w:pPr>
              <w:numPr>
                <w:ilvl w:val="0"/>
                <w:numId w:val="1"/>
              </w:numPr>
              <w:tabs>
                <w:tab w:val="left" w:pos="1440"/>
              </w:tabs>
              <w:spacing w:after="0"/>
              <w:outlineLvl w:val="0"/>
              <w:rPr>
                <w:rFonts w:ascii="宋体" w:hAnsi="宋体" w:eastAsia="宋体"/>
                <w:bCs/>
                <w:sz w:val="21"/>
                <w:szCs w:val="21"/>
                <w:lang w:eastAsia="zh-CN"/>
              </w:rPr>
            </w:pPr>
            <w:r>
              <w:rPr>
                <w:rFonts w:hint="eastAsia" w:ascii="宋体" w:hAnsi="宋体" w:eastAsia="宋体"/>
                <w:bCs/>
                <w:sz w:val="21"/>
                <w:szCs w:val="21"/>
                <w:lang w:eastAsia="zh-CN"/>
              </w:rPr>
              <w:t>郭忠林主编，</w:t>
            </w:r>
            <w:r>
              <w:rPr>
                <w:rFonts w:hint="eastAsia" w:ascii="宋体" w:hAnsi="宋体" w:eastAsia="宋体"/>
                <w:bCs/>
                <w:sz w:val="21"/>
                <w:szCs w:val="21"/>
                <w:lang w:val="en-US" w:eastAsia="zh-CN"/>
              </w:rPr>
              <w:t xml:space="preserve"> </w:t>
            </w:r>
            <w:r>
              <w:rPr>
                <w:rFonts w:hint="eastAsia" w:ascii="宋体" w:hAnsi="宋体" w:eastAsia="宋体"/>
                <w:bCs/>
                <w:sz w:val="21"/>
                <w:szCs w:val="21"/>
                <w:lang w:eastAsia="zh-CN"/>
              </w:rPr>
              <w:t>《证券投资学》，电子工业出版社，2010年6月第</w:t>
            </w:r>
            <w:r>
              <w:rPr>
                <w:rFonts w:hint="eastAsia" w:ascii="宋体" w:hAnsi="宋体" w:eastAsia="宋体"/>
                <w:bCs/>
                <w:sz w:val="21"/>
                <w:szCs w:val="21"/>
                <w:lang w:val="en-US" w:eastAsia="zh-CN"/>
              </w:rPr>
              <w:t>1</w:t>
            </w:r>
            <w:r>
              <w:rPr>
                <w:rFonts w:hint="eastAsia" w:ascii="宋体" w:hAnsi="宋体" w:eastAsia="宋体"/>
                <w:bCs/>
                <w:sz w:val="21"/>
                <w:szCs w:val="21"/>
                <w:lang w:eastAsia="zh-CN"/>
              </w:rPr>
              <w:t>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widowControl/>
              <w:suppressLineNumbers w:val="0"/>
              <w:spacing w:before="0" w:beforeAutospacing="0" w:after="0" w:afterAutospacing="0" w:line="400" w:lineRule="exact"/>
              <w:ind w:left="150" w:right="226" w:firstLine="480" w:firstLineChars="200"/>
              <w:jc w:val="both"/>
              <w:rPr>
                <w:rFonts w:ascii="宋体" w:hAnsi="宋体" w:eastAsia="宋体"/>
                <w:sz w:val="21"/>
                <w:szCs w:val="21"/>
                <w:lang w:eastAsia="zh-CN"/>
              </w:rPr>
            </w:pPr>
            <w:r>
              <w:rPr>
                <w:rFonts w:hint="eastAsia" w:ascii="Times New Roman" w:hAnsi="Times New Roman" w:eastAsia="宋体" w:cs="宋体"/>
                <w:color w:val="333333"/>
                <w:kern w:val="0"/>
                <w:sz w:val="24"/>
                <w:szCs w:val="21"/>
                <w:shd w:val="clear" w:fill="FFFFFF"/>
                <w:lang w:val="en-US" w:eastAsia="zh-CN" w:bidi="ar"/>
              </w:rPr>
              <w:t>证券投资学是一门综合性、应用型、交叉性和边缘性的独立学科。是金融专业学生必须掌握的专业主干课程之一，也可以作为其他经济、管理类专业的选修课。课程主要介绍有关证券投资的基本知识和原理，具体包括证券投资工具、证券市场、证券投资基本分析，证券投资技术分析理论。投资分析方法基本操作策略与方法，投资组合理论与资产定价理论等。</w:t>
            </w:r>
            <w:r>
              <w:rPr>
                <w:rFonts w:ascii="方正书宋简体" w:hAnsi="方正书宋简体" w:eastAsia="方正书宋简体" w:cs="方正书宋简体"/>
                <w:color w:val="333333"/>
                <w:kern w:val="0"/>
                <w:sz w:val="24"/>
                <w:szCs w:val="21"/>
                <w:shd w:val="clear" w:fill="FFFFFF"/>
                <w:lang w:val="en-US" w:eastAsia="zh-CN" w:bidi="ar"/>
              </w:rPr>
              <w:t>通过本课程的学习，使学生对</w:t>
            </w:r>
            <w:r>
              <w:rPr>
                <w:rFonts w:hint="eastAsia" w:ascii="方正书宋简体" w:hAnsi="方正书宋简体" w:eastAsia="方正书宋简体" w:cs="方正书宋简体"/>
                <w:color w:val="333333"/>
                <w:kern w:val="0"/>
                <w:sz w:val="24"/>
                <w:szCs w:val="21"/>
                <w:shd w:val="clear" w:fill="FFFFFF"/>
                <w:lang w:val="en-US" w:eastAsia="zh-CN" w:bidi="ar"/>
              </w:rPr>
              <w:t>证券投资</w:t>
            </w:r>
            <w:r>
              <w:rPr>
                <w:rFonts w:ascii="方正书宋简体" w:hAnsi="方正书宋简体" w:eastAsia="方正书宋简体" w:cs="方正书宋简体"/>
                <w:color w:val="333333"/>
                <w:kern w:val="0"/>
                <w:sz w:val="24"/>
                <w:szCs w:val="21"/>
                <w:shd w:val="clear" w:fill="FFFFFF"/>
                <w:lang w:val="en-US" w:eastAsia="zh-CN" w:bidi="ar"/>
              </w:rPr>
              <w:t>学的基本问题和基本观点有比较全面的认识，掌握</w:t>
            </w:r>
            <w:r>
              <w:rPr>
                <w:rFonts w:hint="eastAsia" w:ascii="方正书宋简体" w:hAnsi="方正书宋简体" w:eastAsia="方正书宋简体" w:cs="方正书宋简体"/>
                <w:color w:val="333333"/>
                <w:kern w:val="0"/>
                <w:sz w:val="24"/>
                <w:szCs w:val="21"/>
                <w:shd w:val="clear" w:fill="FFFFFF"/>
                <w:lang w:val="en-US" w:eastAsia="zh-CN" w:bidi="ar"/>
              </w:rPr>
              <w:t>证券投资</w:t>
            </w:r>
            <w:r>
              <w:rPr>
                <w:rFonts w:ascii="方正书宋简体" w:hAnsi="方正书宋简体" w:eastAsia="方正书宋简体" w:cs="方正书宋简体"/>
                <w:color w:val="333333"/>
                <w:kern w:val="0"/>
                <w:sz w:val="24"/>
                <w:szCs w:val="21"/>
                <w:shd w:val="clear" w:fill="FFFFFF"/>
                <w:lang w:val="en-US" w:eastAsia="zh-CN" w:bidi="ar"/>
              </w:rPr>
              <w:t>学的基本概念、基本思想、基本分析方法和基本理论，建立起对</w:t>
            </w:r>
            <w:r>
              <w:rPr>
                <w:rFonts w:hint="eastAsia" w:ascii="方正书宋简体" w:hAnsi="方正书宋简体" w:eastAsia="方正书宋简体" w:cs="方正书宋简体"/>
                <w:color w:val="333333"/>
                <w:kern w:val="0"/>
                <w:sz w:val="24"/>
                <w:szCs w:val="21"/>
                <w:shd w:val="clear" w:fill="FFFFFF"/>
                <w:lang w:val="en-US" w:eastAsia="zh-CN" w:bidi="ar"/>
              </w:rPr>
              <w:t>证券投资</w:t>
            </w:r>
            <w:r>
              <w:rPr>
                <w:rFonts w:ascii="方正书宋简体" w:hAnsi="方正书宋简体" w:eastAsia="方正书宋简体" w:cs="方正书宋简体"/>
                <w:color w:val="333333"/>
                <w:kern w:val="0"/>
                <w:sz w:val="24"/>
                <w:szCs w:val="21"/>
                <w:shd w:val="clear" w:fill="FFFFFF"/>
                <w:lang w:val="en-US" w:eastAsia="zh-CN" w:bidi="ar"/>
              </w:rPr>
              <w:t>的基本思维框架，为进一步学习其它</w:t>
            </w:r>
            <w:r>
              <w:rPr>
                <w:rFonts w:hint="eastAsia" w:ascii="方正书宋简体" w:hAnsi="方正书宋简体" w:eastAsia="方正书宋简体" w:cs="方正书宋简体"/>
                <w:color w:val="333333"/>
                <w:kern w:val="0"/>
                <w:sz w:val="24"/>
                <w:szCs w:val="21"/>
                <w:shd w:val="clear" w:fill="FFFFFF"/>
                <w:lang w:val="en-US" w:eastAsia="zh-CN" w:bidi="ar"/>
              </w:rPr>
              <w:t>金融</w:t>
            </w:r>
            <w:r>
              <w:rPr>
                <w:rFonts w:ascii="方正书宋简体" w:hAnsi="方正书宋简体" w:eastAsia="方正书宋简体" w:cs="方正书宋简体"/>
                <w:color w:val="333333"/>
                <w:kern w:val="0"/>
                <w:sz w:val="24"/>
                <w:szCs w:val="21"/>
                <w:shd w:val="clear" w:fill="FFFFFF"/>
                <w:lang w:val="en-US" w:eastAsia="zh-CN" w:bidi="ar"/>
              </w:rPr>
              <w:t>专业课程和专业研究打下理论基础。</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71" w:type="dxa"/>
            <w:gridSpan w:val="6"/>
          </w:tcPr>
          <w:p>
            <w:pPr>
              <w:tabs>
                <w:tab w:val="left" w:pos="1440"/>
              </w:tabs>
              <w:spacing w:after="0"/>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pStyle w:val="15"/>
              <w:numPr>
                <w:ilvl w:val="0"/>
                <w:numId w:val="0"/>
              </w:numPr>
              <w:tabs>
                <w:tab w:val="left" w:pos="1440"/>
              </w:tabs>
              <w:spacing w:after="0"/>
              <w:ind w:firstLine="420" w:firstLineChars="200"/>
              <w:outlineLvl w:val="0"/>
              <w:rPr>
                <w:rFonts w:hint="eastAsia" w:ascii="宋体" w:hAnsi="宋体" w:eastAsia="宋体"/>
                <w:sz w:val="21"/>
                <w:szCs w:val="21"/>
                <w:lang w:eastAsia="zh-CN"/>
              </w:rPr>
            </w:pPr>
            <w:r>
              <w:rPr>
                <w:rFonts w:hint="eastAsia" w:ascii="宋体" w:hAnsi="宋体" w:eastAsia="宋体"/>
                <w:sz w:val="21"/>
                <w:szCs w:val="21"/>
                <w:lang w:eastAsia="zh-CN"/>
              </w:rPr>
              <w:t>一、通过本课程的学习，要求学生熟练、系统地掌握证券及证券市场的基础知识、基本理论和证券投资管理的有关知识和技能；熟悉证券市场的架构、交易工具、运作机制和运行规律;掌握证券投资的收益、风险之间的关系和有价证券的定价原理;熟悉证券投资的分析方法和管理方法。具有全球视野，对国际证券市场的运行与发展有一定的认识。  </w:t>
            </w:r>
          </w:p>
          <w:p>
            <w:pPr>
              <w:pStyle w:val="15"/>
              <w:numPr>
                <w:ilvl w:val="0"/>
                <w:numId w:val="0"/>
              </w:numPr>
              <w:tabs>
                <w:tab w:val="left" w:pos="1440"/>
              </w:tabs>
              <w:spacing w:after="0"/>
              <w:ind w:firstLine="420" w:firstLineChars="200"/>
              <w:outlineLvl w:val="0"/>
              <w:rPr>
                <w:rFonts w:hint="eastAsia" w:ascii="宋体" w:hAnsi="宋体" w:eastAsia="宋体"/>
                <w:sz w:val="21"/>
                <w:szCs w:val="21"/>
                <w:lang w:eastAsia="zh-CN"/>
              </w:rPr>
            </w:pPr>
            <w:r>
              <w:rPr>
                <w:rFonts w:hint="eastAsia" w:ascii="宋体" w:hAnsi="宋体" w:eastAsia="宋体"/>
                <w:sz w:val="21"/>
                <w:szCs w:val="21"/>
                <w:lang w:eastAsia="zh-CN"/>
              </w:rPr>
              <w:t>二、学完本课程，学生能自由阅读现代媒体关于证券市场的分析文章，并能理解专业公司的研究报告，对证券市场和上市公司等证券发行机构的公开信息能发表独立见解。  </w:t>
            </w:r>
          </w:p>
          <w:p>
            <w:pPr>
              <w:spacing w:after="0"/>
              <w:ind w:firstLine="420" w:firstLineChars="200"/>
              <w:rPr>
                <w:rFonts w:ascii="宋体" w:hAnsi="宋体" w:eastAsia="宋体"/>
                <w:sz w:val="21"/>
                <w:szCs w:val="21"/>
                <w:lang w:eastAsia="zh-CN"/>
              </w:rPr>
            </w:pPr>
            <w:r>
              <w:rPr>
                <w:rFonts w:hint="eastAsia" w:ascii="宋体" w:hAnsi="宋体" w:eastAsia="宋体"/>
                <w:sz w:val="21"/>
                <w:szCs w:val="21"/>
                <w:lang w:eastAsia="zh-CN"/>
              </w:rPr>
              <w:t>三、本课程注重与现实证券市场相结合，重点培养学生分析和解决证券投资相关问题的能力。</w:t>
            </w:r>
          </w:p>
        </w:tc>
        <w:tc>
          <w:tcPr>
            <w:tcW w:w="3130" w:type="dxa"/>
            <w:gridSpan w:val="4"/>
          </w:tcPr>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r>
              <w:rPr>
                <w:rFonts w:hint="eastAsia" w:ascii="宋体" w:hAnsi="宋体" w:eastAsia="宋体"/>
                <w:sz w:val="21"/>
                <w:szCs w:val="21"/>
                <w:lang w:eastAsia="zh-CN"/>
              </w:rPr>
              <w:t>全面掌握经济学科和金融学科包含证券投资学的基础理论和基础知识；</w:t>
            </w:r>
            <w:bookmarkStart w:id="0" w:name="_GoBack"/>
            <w:bookmarkEnd w:id="0"/>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r>
              <w:rPr>
                <w:rFonts w:hint="eastAsia" w:ascii="宋体" w:hAnsi="宋体" w:eastAsia="宋体"/>
                <w:b w:val="0"/>
                <w:bCs/>
                <w:sz w:val="21"/>
                <w:szCs w:val="21"/>
                <w:lang w:eastAsia="zh-CN"/>
              </w:rPr>
              <w:t>培养</w:t>
            </w:r>
            <w:r>
              <w:rPr>
                <w:rFonts w:hint="eastAsia" w:ascii="宋体" w:hAnsi="宋体" w:eastAsia="宋体"/>
                <w:sz w:val="21"/>
                <w:szCs w:val="21"/>
                <w:lang w:eastAsia="zh-CN"/>
              </w:rPr>
              <w:t>团队精神和协作能力；</w:t>
            </w:r>
          </w:p>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3. </w:t>
            </w:r>
            <w:r>
              <w:rPr>
                <w:rFonts w:hint="eastAsia" w:ascii="宋体" w:hAnsi="宋体" w:eastAsia="宋体"/>
                <w:sz w:val="21"/>
                <w:szCs w:val="21"/>
                <w:lang w:eastAsia="zh-CN"/>
              </w:rPr>
              <w:t>系统掌握金融学的基本理论与分析方法、专业知识和业务技能；熟悉有关法律、政策和国际规则；</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4. </w:t>
            </w:r>
            <w:r>
              <w:rPr>
                <w:rFonts w:hint="eastAsia" w:ascii="宋体" w:hAnsi="宋体" w:eastAsia="宋体"/>
                <w:sz w:val="21"/>
                <w:szCs w:val="21"/>
                <w:lang w:eastAsia="zh-CN"/>
              </w:rPr>
              <w:t>具有一定的金融系统分析能力。具有较强的投资调研、分析、解决实际问题的能力和一定的科研能力；</w:t>
            </w:r>
          </w:p>
          <w:p>
            <w:pPr>
              <w:tabs>
                <w:tab w:val="left" w:pos="1440"/>
              </w:tabs>
              <w:spacing w:after="0"/>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5. </w:t>
            </w:r>
            <w:r>
              <w:rPr>
                <w:rFonts w:hint="eastAsia" w:ascii="宋体" w:hAnsi="宋体" w:eastAsia="宋体"/>
                <w:sz w:val="21"/>
                <w:szCs w:val="21"/>
                <w:lang w:eastAsia="zh-CN"/>
              </w:rPr>
              <w:t>能熟练运用金融现代信息化工具从事金融证券交易、证券分析专业工作；</w:t>
            </w:r>
          </w:p>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√核心能力</w:t>
            </w:r>
            <w:r>
              <w:rPr>
                <w:rFonts w:hint="eastAsia" w:ascii="宋体" w:hAnsi="宋体" w:eastAsia="宋体"/>
                <w:b/>
                <w:sz w:val="21"/>
                <w:szCs w:val="21"/>
                <w:lang w:val="en-US" w:eastAsia="zh-CN"/>
              </w:rPr>
              <w:t>6</w:t>
            </w:r>
            <w:r>
              <w:rPr>
                <w:rFonts w:hint="eastAsia" w:ascii="宋体" w:hAnsi="宋体" w:eastAsia="宋体"/>
                <w:b/>
                <w:sz w:val="21"/>
                <w:szCs w:val="21"/>
                <w:lang w:eastAsia="zh-CN"/>
              </w:rPr>
              <w:t>．</w:t>
            </w:r>
            <w:r>
              <w:rPr>
                <w:rFonts w:hint="eastAsia" w:ascii="宋体" w:hAnsi="宋体" w:eastAsia="宋体"/>
                <w:sz w:val="21"/>
                <w:szCs w:val="21"/>
                <w:lang w:eastAsia="zh-CN"/>
              </w:rPr>
              <w:t>理解职业道德、专业伦理与认识社会责任的能力，等。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0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1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90"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17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8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绪论</w:t>
            </w:r>
          </w:p>
        </w:tc>
        <w:tc>
          <w:tcPr>
            <w:tcW w:w="61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3</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使学生了解证券投资学的这一理论体系的基本框架,明确证券投资学的研究对象，掌握证券投资学的基本内容,了解证券投资学的发展简史和主要研究方法。</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w:t>
            </w:r>
            <w:r>
              <w:rPr>
                <w:rFonts w:ascii="宋体" w:hAnsi="宋体" w:eastAsia="宋体"/>
                <w:sz w:val="21"/>
                <w:szCs w:val="21"/>
                <w:lang w:eastAsia="zh-CN"/>
              </w:rPr>
              <w:t>授</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hint="eastAsia" w:ascii="宋体" w:hAnsi="宋体" w:eastAsia="宋体"/>
                <w:sz w:val="21"/>
                <w:szCs w:val="21"/>
                <w:lang w:val="en-US" w:eastAsia="zh-CN"/>
              </w:rPr>
              <w:t>3</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证券投资工具</w:t>
            </w:r>
          </w:p>
        </w:tc>
        <w:tc>
          <w:tcPr>
            <w:tcW w:w="61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3990"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1.</w:t>
            </w:r>
            <w:r>
              <w:rPr>
                <w:rFonts w:hint="eastAsia" w:ascii="宋体" w:hAnsi="宋体" w:eastAsia="宋体"/>
                <w:sz w:val="21"/>
                <w:szCs w:val="21"/>
                <w:lang w:eastAsia="zh-CN"/>
              </w:rPr>
              <w:t>普通股票、优先股的含义； </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2.</w:t>
            </w:r>
            <w:r>
              <w:rPr>
                <w:rFonts w:hint="eastAsia" w:ascii="宋体" w:hAnsi="宋体" w:eastAsia="宋体"/>
                <w:sz w:val="21"/>
                <w:szCs w:val="21"/>
                <w:lang w:eastAsia="zh-CN"/>
              </w:rPr>
              <w:t>普通股股东的权利、优先股票的特征、作用、种类； </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股票按票面额形态分类、按投资主体分类、按上市地和投资者不同分类；</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4.</w:t>
            </w:r>
            <w:r>
              <w:rPr>
                <w:rFonts w:hint="eastAsia" w:ascii="宋体" w:hAnsi="宋体" w:eastAsia="宋体"/>
                <w:sz w:val="21"/>
                <w:szCs w:val="21"/>
                <w:lang w:eastAsia="zh-CN"/>
              </w:rPr>
              <w:t>债券的定义和特点；债券按发行主体分类；</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val="en-US" w:eastAsia="zh-CN"/>
              </w:rPr>
              <w:t>5.</w:t>
            </w:r>
            <w:r>
              <w:rPr>
                <w:rFonts w:hint="eastAsia" w:ascii="宋体" w:hAnsi="宋体" w:eastAsia="宋体"/>
                <w:sz w:val="21"/>
                <w:szCs w:val="21"/>
                <w:lang w:eastAsia="zh-CN"/>
              </w:rPr>
              <w:t>债券按计息方式、按募集方式、偿还期、发行期、记名与否分类；</w:t>
            </w:r>
          </w:p>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6.</w:t>
            </w:r>
            <w:r>
              <w:rPr>
                <w:rFonts w:hint="eastAsia" w:ascii="宋体" w:hAnsi="宋体" w:eastAsia="宋体"/>
                <w:sz w:val="21"/>
                <w:szCs w:val="21"/>
                <w:lang w:eastAsia="zh-CN"/>
              </w:rPr>
              <w:t>债券按市场所在地、按债券形式分类；股票债券的区别等。</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4、5</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证券市场及其运行</w:t>
            </w:r>
          </w:p>
        </w:tc>
        <w:tc>
          <w:tcPr>
            <w:tcW w:w="61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1.</w:t>
            </w:r>
            <w:r>
              <w:rPr>
                <w:rFonts w:hint="eastAsia" w:ascii="宋体" w:hAnsi="宋体" w:eastAsia="宋体"/>
                <w:sz w:val="21"/>
                <w:szCs w:val="21"/>
                <w:lang w:eastAsia="zh-CN"/>
              </w:rPr>
              <w:t>证券市场概念、证券市场的功能与分类； </w:t>
            </w:r>
            <w:r>
              <w:rPr>
                <w:rFonts w:hint="eastAsia" w:ascii="宋体" w:hAnsi="宋体" w:eastAsia="宋体"/>
                <w:sz w:val="21"/>
                <w:szCs w:val="21"/>
                <w:lang w:val="en-US" w:eastAsia="zh-CN"/>
              </w:rPr>
              <w:t>2.</w:t>
            </w:r>
            <w:r>
              <w:rPr>
                <w:rFonts w:hint="eastAsia" w:ascii="宋体" w:hAnsi="宋体" w:eastAsia="宋体"/>
                <w:sz w:val="21"/>
                <w:szCs w:val="21"/>
                <w:lang w:eastAsia="zh-CN"/>
              </w:rPr>
              <w:t>证券市场的结构；</w:t>
            </w:r>
            <w:r>
              <w:rPr>
                <w:rFonts w:hint="eastAsia" w:ascii="宋体" w:hAnsi="宋体" w:eastAsia="宋体"/>
                <w:sz w:val="21"/>
                <w:szCs w:val="21"/>
                <w:lang w:val="en-US" w:eastAsia="zh-CN"/>
              </w:rPr>
              <w:t>3.</w:t>
            </w:r>
            <w:r>
              <w:rPr>
                <w:rFonts w:hint="eastAsia" w:ascii="宋体" w:hAnsi="宋体" w:eastAsia="宋体"/>
                <w:sz w:val="21"/>
                <w:szCs w:val="21"/>
                <w:lang w:eastAsia="zh-CN"/>
              </w:rPr>
              <w:t>证券发行的基本程序；</w:t>
            </w:r>
            <w:r>
              <w:rPr>
                <w:rFonts w:hint="eastAsia" w:ascii="宋体" w:hAnsi="宋体" w:eastAsia="宋体"/>
                <w:sz w:val="21"/>
                <w:szCs w:val="21"/>
                <w:lang w:val="en-US" w:eastAsia="zh-CN"/>
              </w:rPr>
              <w:t>4.</w:t>
            </w:r>
            <w:r>
              <w:rPr>
                <w:rFonts w:hint="eastAsia" w:ascii="宋体" w:hAnsi="宋体" w:eastAsia="宋体"/>
                <w:sz w:val="21"/>
                <w:szCs w:val="21"/>
                <w:lang w:eastAsia="zh-CN"/>
              </w:rPr>
              <w:t>证券发行的主要方式、证券发行制度、证券承销制度、证券发行的信息披露；</w:t>
            </w:r>
            <w:r>
              <w:rPr>
                <w:rFonts w:hint="eastAsia" w:ascii="宋体" w:hAnsi="宋体" w:eastAsia="宋体"/>
                <w:sz w:val="21"/>
                <w:szCs w:val="21"/>
                <w:lang w:val="en-US" w:eastAsia="zh-CN"/>
              </w:rPr>
              <w:t>5.</w:t>
            </w:r>
            <w:r>
              <w:rPr>
                <w:rFonts w:hint="eastAsia" w:ascii="宋体" w:hAnsi="宋体" w:eastAsia="宋体"/>
                <w:sz w:val="21"/>
                <w:szCs w:val="21"/>
                <w:lang w:eastAsia="zh-CN"/>
              </w:rPr>
              <w:t>证券中介机构；证券市场监管。</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6</w:t>
            </w:r>
            <w:r>
              <w:rPr>
                <w:rFonts w:hint="eastAsia" w:ascii="宋体" w:hAnsi="宋体" w:eastAsia="宋体"/>
                <w:sz w:val="21"/>
                <w:szCs w:val="21"/>
                <w:lang w:eastAsia="zh-CN"/>
              </w:rPr>
              <w:t>、</w:t>
            </w:r>
            <w:r>
              <w:rPr>
                <w:rFonts w:hint="eastAsia" w:ascii="宋体" w:hAnsi="宋体" w:eastAsia="宋体"/>
                <w:sz w:val="21"/>
                <w:szCs w:val="21"/>
                <w:lang w:val="en-US" w:eastAsia="zh-CN"/>
              </w:rPr>
              <w:t>7</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证券投资基本分析</w:t>
            </w:r>
          </w:p>
        </w:tc>
        <w:tc>
          <w:tcPr>
            <w:tcW w:w="61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3990"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证券分析信息的内容和来源；熟悉宏观经济分析对证券投资的意义和分析的内容；了解行业分类；掌握行业一般特征的分析、经济周期与行业分析、行业生命周期分析；了解影响行业兴衰的主要因素；熟悉行业选择的方法；熟悉公司竞争地位分析、盈利能力分析、公司经营管理能力分析的主要指标和方法。 </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了解财务分析的对象；熟悉资产负债表、损益表、现金流量表的结构；了解财务报表的分析方法；掌握公司偿债能力、资本结构、经营效率、盈利能力、投资收益分析的指标含义和计算。</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8、9</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证券投资技术分析主要理论与方法</w:t>
            </w:r>
          </w:p>
        </w:tc>
        <w:tc>
          <w:tcPr>
            <w:tcW w:w="61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3990"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了解技术分析的涵义与目的；熟悉技术分析的假设和要素；熟悉道氏理论的主要内容和对趋势的判断。了解股价图形的种类和K线的应用；熟悉股价趋势分析的方法；熟悉股价形态分析的方法。</w:t>
            </w:r>
          </w:p>
        </w:tc>
        <w:tc>
          <w:tcPr>
            <w:tcW w:w="1171"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10、11</w:t>
            </w:r>
          </w:p>
        </w:tc>
        <w:tc>
          <w:tcPr>
            <w:tcW w:w="1709"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技术指标分析</w:t>
            </w:r>
          </w:p>
        </w:tc>
        <w:tc>
          <w:tcPr>
            <w:tcW w:w="618" w:type="dxa"/>
            <w:tcBorders>
              <w:bottom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3990"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了解股价移动平均线的定义，种类和计算方法；熟悉股价移动平均线、乖离率和MACD的应用；了解波浪理论的基本形态和特征、推动浪的特殊形态、调整浪和波浪理论的基本原则。 </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了解证券成交量分析、能量潮指标、量价线、TAPI指标、VR指标、相对强弱（RSI）指标、腾落指标（ADL）、涨跌比率（ADR）、超买超卖指标（OBOS）、心理线（PSY）</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指标、威廉指标、随机指标、人气指标（AR）、买卖意愿指标（BR）、中间意愿指标（CR）、趋向指标（DMI）和停损点转向操作系统（SAR）的含义。</w:t>
            </w:r>
          </w:p>
        </w:tc>
        <w:tc>
          <w:tcPr>
            <w:tcW w:w="1171"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12、13</w:t>
            </w:r>
          </w:p>
        </w:tc>
        <w:tc>
          <w:tcPr>
            <w:tcW w:w="1709"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盘面解读与研判</w:t>
            </w:r>
          </w:p>
        </w:tc>
        <w:tc>
          <w:tcPr>
            <w:tcW w:w="61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6</w:t>
            </w:r>
          </w:p>
        </w:tc>
        <w:tc>
          <w:tcPr>
            <w:tcW w:w="3990" w:type="dxa"/>
            <w:gridSpan w:val="3"/>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掌握行情图的解读与分析，学会观看大盘分时图、个股分时图；观察分时图的走势和变化；大盘技术图形走势和变化；个股技术图形的走势和变化；盘面的观察与操作。</w:t>
            </w:r>
          </w:p>
        </w:tc>
        <w:tc>
          <w:tcPr>
            <w:tcW w:w="1171"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14、15</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证券投资操作策略与方法</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6</w:t>
            </w:r>
          </w:p>
        </w:tc>
        <w:tc>
          <w:tcPr>
            <w:tcW w:w="3990"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了解证券投资操作策略；熟悉积极的股票投资管理策略——以技术分析为基础的策略、以基本分析为基础的策略、以事件研究为基础的策略、以股票投资风格管理为基础的策略；熟悉消极的股票投资管理策略——购买并持有策略和指数法策略。掌握证券投资操操作方法。对于趋势投资法、定式法投资法、摊平成本法等方法含义和应用。</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16、17</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投资组合与资产定价理论</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6</w:t>
            </w:r>
          </w:p>
        </w:tc>
        <w:tc>
          <w:tcPr>
            <w:tcW w:w="3990"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熟悉证券组合的分散原理；掌握证券组合预期收益率的计算；掌握证券组合风险的测算；掌握可行组合、有效组合的概念；掌握最优证券组合的条件和选择；了解马柯维茨学说的基本观点及其贡献。掌握资本市场线方程及其解释；了解系统风险和非系统风险的区别；掌握系统风险的量化方法；熟悉市场模型的含义；掌握β系数的计算；掌握证券市场线方程及其解释；掌握α系数的含义和计算；掌握证券特征线方程和应用；熟悉投资分散化的好处。</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val="en-US" w:eastAsia="zh-CN"/>
              </w:rPr>
              <w:t>3节</w:t>
            </w:r>
            <w:r>
              <w:rPr>
                <w:rFonts w:hint="eastAsia" w:ascii="宋体" w:hAnsi="宋体" w:eastAsia="宋体"/>
                <w:sz w:val="21"/>
                <w:szCs w:val="21"/>
                <w:lang w:eastAsia="zh-CN"/>
              </w:rPr>
              <w:t>+实验室</w:t>
            </w:r>
            <w:r>
              <w:rPr>
                <w:rFonts w:hint="eastAsia" w:ascii="宋体" w:hAnsi="宋体" w:eastAsia="宋体"/>
                <w:sz w:val="21"/>
                <w:szCs w:val="21"/>
                <w:lang w:val="en-US" w:eastAsia="zh-CN"/>
              </w:rPr>
              <w:t>3节</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r>
              <w:rPr>
                <w:rFonts w:hint="eastAsia" w:ascii="宋体" w:hAnsi="宋体" w:eastAsia="宋体"/>
                <w:sz w:val="21"/>
                <w:szCs w:val="21"/>
                <w:lang w:val="en-US" w:eastAsia="zh-CN"/>
              </w:rPr>
              <w:t>8</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复习总</w:t>
            </w:r>
            <w:r>
              <w:rPr>
                <w:rFonts w:ascii="宋体" w:hAnsi="宋体" w:eastAsia="宋体"/>
                <w:sz w:val="21"/>
                <w:szCs w:val="21"/>
                <w:lang w:eastAsia="zh-CN"/>
              </w:rPr>
              <w:t>结</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3</w:t>
            </w:r>
          </w:p>
        </w:tc>
        <w:tc>
          <w:tcPr>
            <w:tcW w:w="3990"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课程</w:t>
            </w:r>
            <w:r>
              <w:rPr>
                <w:rFonts w:ascii="宋体" w:hAnsi="宋体" w:eastAsia="宋体"/>
                <w:sz w:val="21"/>
                <w:szCs w:val="21"/>
                <w:lang w:eastAsia="zh-CN"/>
              </w:rPr>
              <w:t>总结</w:t>
            </w:r>
            <w:r>
              <w:rPr>
                <w:rFonts w:hint="eastAsia" w:ascii="宋体" w:hAnsi="宋体" w:eastAsia="宋体"/>
                <w:sz w:val="21"/>
                <w:szCs w:val="21"/>
                <w:lang w:eastAsia="zh-CN"/>
              </w:rPr>
              <w:t>，课程复习</w:t>
            </w:r>
            <w:r>
              <w:rPr>
                <w:rFonts w:ascii="宋体" w:hAnsi="宋体" w:eastAsia="宋体"/>
                <w:sz w:val="21"/>
                <w:szCs w:val="21"/>
                <w:lang w:eastAsia="zh-CN"/>
              </w:rPr>
              <w:t>，</w:t>
            </w:r>
            <w:r>
              <w:rPr>
                <w:rFonts w:hint="eastAsia" w:ascii="宋体" w:hAnsi="宋体" w:eastAsia="宋体"/>
                <w:sz w:val="21"/>
                <w:szCs w:val="21"/>
                <w:lang w:eastAsia="zh-CN"/>
              </w:rPr>
              <w:t>课程</w:t>
            </w:r>
            <w:r>
              <w:rPr>
                <w:rFonts w:ascii="宋体" w:hAnsi="宋体" w:eastAsia="宋体"/>
                <w:sz w:val="21"/>
                <w:szCs w:val="21"/>
                <w:lang w:eastAsia="zh-CN"/>
              </w:rPr>
              <w:t>答疑</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w:t>
            </w:r>
            <w:r>
              <w:rPr>
                <w:rFonts w:ascii="宋体" w:hAnsi="宋体" w:eastAsia="宋体"/>
                <w:sz w:val="21"/>
                <w:szCs w:val="21"/>
                <w:lang w:eastAsia="zh-CN"/>
              </w:rPr>
              <w:t>讲授</w:t>
            </w:r>
            <w:r>
              <w:rPr>
                <w:rFonts w:hint="eastAsia" w:ascii="宋体" w:hAnsi="宋体" w:eastAsia="宋体"/>
                <w:sz w:val="21"/>
                <w:szCs w:val="21"/>
                <w:lang w:eastAsia="zh-CN"/>
              </w:rPr>
              <w:t>+答疑</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0"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18" w:type="dxa"/>
            <w:tcBorders>
              <w:top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54</w:t>
            </w:r>
          </w:p>
        </w:tc>
        <w:tc>
          <w:tcPr>
            <w:tcW w:w="3990" w:type="dxa"/>
            <w:gridSpan w:val="3"/>
            <w:tcBorders>
              <w:top w:val="single" w:color="auto" w:sz="4" w:space="0"/>
            </w:tcBorders>
            <w:vAlign w:val="center"/>
          </w:tcPr>
          <w:p>
            <w:pPr>
              <w:spacing w:after="0" w:line="0" w:lineRule="atLeast"/>
              <w:rPr>
                <w:rFonts w:ascii="宋体" w:hAnsi="宋体" w:eastAsia="宋体"/>
                <w:sz w:val="21"/>
                <w:szCs w:val="21"/>
              </w:rPr>
            </w:pPr>
          </w:p>
        </w:tc>
        <w:tc>
          <w:tcPr>
            <w:tcW w:w="1171" w:type="dxa"/>
            <w:gridSpan w:val="2"/>
            <w:tcBorders>
              <w:top w:val="single" w:color="auto" w:sz="4" w:space="0"/>
            </w:tcBorders>
            <w:vAlign w:val="center"/>
          </w:tcPr>
          <w:p>
            <w:pPr>
              <w:spacing w:after="0" w:line="0" w:lineRule="atLeast"/>
              <w:rPr>
                <w:rFonts w:ascii="宋体" w:hAnsi="宋体" w:eastAsia="宋体"/>
                <w:sz w:val="21"/>
                <w:szCs w:val="21"/>
              </w:rPr>
            </w:pPr>
          </w:p>
        </w:tc>
        <w:tc>
          <w:tcPr>
            <w:tcW w:w="1082"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81"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655"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65"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Merge w:val="restart"/>
            <w:vAlign w:val="center"/>
          </w:tcPr>
          <w:p>
            <w:pPr>
              <w:snapToGrid w:val="0"/>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作业</w:t>
            </w: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不</w:t>
            </w:r>
            <w:r>
              <w:rPr>
                <w:rFonts w:ascii="宋体" w:hAnsi="宋体" w:eastAsia="宋体"/>
                <w:sz w:val="21"/>
                <w:szCs w:val="21"/>
                <w:lang w:eastAsia="zh-CN"/>
              </w:rPr>
              <w:t>抄袭，独立完成，</w:t>
            </w:r>
            <w:r>
              <w:rPr>
                <w:rFonts w:hint="eastAsia" w:ascii="宋体" w:hAnsi="宋体" w:eastAsia="宋体"/>
                <w:sz w:val="21"/>
                <w:szCs w:val="21"/>
                <w:lang w:eastAsia="zh-CN"/>
              </w:rPr>
              <w:t>书</w:t>
            </w:r>
            <w:r>
              <w:rPr>
                <w:rFonts w:ascii="宋体" w:hAnsi="宋体" w:eastAsia="宋体"/>
                <w:sz w:val="21"/>
                <w:szCs w:val="21"/>
                <w:lang w:eastAsia="zh-CN"/>
              </w:rPr>
              <w:t>写工整，答题正确</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1</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Merge w:val="continue"/>
            <w:vAlign w:val="center"/>
          </w:tcPr>
          <w:p>
            <w:pPr>
              <w:snapToGrid w:val="0"/>
              <w:spacing w:after="0" w:line="0" w:lineRule="atLeast"/>
              <w:rPr>
                <w:rFonts w:ascii="宋体" w:hAnsi="宋体" w:eastAsia="宋体"/>
                <w:sz w:val="21"/>
                <w:szCs w:val="21"/>
                <w:lang w:eastAsia="zh-CN"/>
              </w:rPr>
            </w:pP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小组讨论与实验</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积极参与，独立思考，讨论结论</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10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jc w:val="center"/>
        </w:trPr>
        <w:tc>
          <w:tcPr>
            <w:tcW w:w="831" w:type="dxa"/>
            <w:vAlign w:val="center"/>
          </w:tcPr>
          <w:p>
            <w:pPr>
              <w:snapToGrid w:val="0"/>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出勤</w:t>
            </w: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签到或点名</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迟到、缺课、旷课节数</w:t>
            </w:r>
          </w:p>
        </w:tc>
        <w:tc>
          <w:tcPr>
            <w:tcW w:w="1565" w:type="dxa"/>
            <w:gridSpan w:val="2"/>
            <w:vAlign w:val="center"/>
          </w:tcPr>
          <w:p>
            <w:pPr>
              <w:snapToGrid w:val="0"/>
              <w:spacing w:after="0" w:line="0" w:lineRule="atLeast"/>
              <w:ind w:left="180"/>
              <w:rPr>
                <w:rFonts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81"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期末</w:t>
            </w:r>
            <w:r>
              <w:rPr>
                <w:rFonts w:ascii="宋体" w:hAnsi="宋体" w:eastAsia="宋体"/>
                <w:sz w:val="21"/>
                <w:szCs w:val="21"/>
                <w:lang w:eastAsia="zh-CN"/>
              </w:rPr>
              <w:t>考试</w:t>
            </w:r>
          </w:p>
        </w:tc>
        <w:tc>
          <w:tcPr>
            <w:tcW w:w="5655"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书</w:t>
            </w:r>
            <w:r>
              <w:rPr>
                <w:rFonts w:ascii="宋体" w:hAnsi="宋体" w:eastAsia="宋体"/>
                <w:sz w:val="21"/>
                <w:szCs w:val="21"/>
                <w:lang w:eastAsia="zh-CN"/>
              </w:rPr>
              <w:t>写工整，</w:t>
            </w:r>
            <w:r>
              <w:rPr>
                <w:rFonts w:hint="eastAsia" w:ascii="宋体" w:hAnsi="宋体" w:eastAsia="宋体"/>
                <w:sz w:val="21"/>
                <w:szCs w:val="21"/>
                <w:lang w:eastAsia="zh-CN"/>
              </w:rPr>
              <w:t>答题</w:t>
            </w:r>
            <w:r>
              <w:rPr>
                <w:rFonts w:ascii="宋体" w:hAnsi="宋体" w:eastAsia="宋体"/>
                <w:sz w:val="21"/>
                <w:szCs w:val="21"/>
                <w:lang w:eastAsia="zh-CN"/>
              </w:rPr>
              <w:t>正确</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70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3</w:t>
            </w:r>
            <w:r>
              <w:rPr>
                <w:rFonts w:hint="eastAsia" w:ascii="宋体" w:hAnsi="宋体" w:eastAsia="宋体"/>
                <w:b/>
                <w:sz w:val="21"/>
                <w:szCs w:val="21"/>
                <w:lang w:eastAsia="zh-CN"/>
              </w:rPr>
              <w:t>月</w:t>
            </w:r>
            <w:r>
              <w:rPr>
                <w:rFonts w:hint="eastAsia" w:ascii="宋体" w:hAnsi="宋体" w:eastAsia="宋体"/>
                <w:b/>
                <w:sz w:val="21"/>
                <w:szCs w:val="21"/>
                <w:lang w:val="en-US" w:eastAsia="zh-CN"/>
              </w:rPr>
              <w:t>3</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1" w:hRule="atLeast"/>
          <w:jc w:val="center"/>
        </w:trPr>
        <w:tc>
          <w:tcPr>
            <w:tcW w:w="9401" w:type="dxa"/>
            <w:gridSpan w:val="10"/>
          </w:tcPr>
          <w:p>
            <w:pPr>
              <w:tabs>
                <w:tab w:val="left" w:pos="1440"/>
              </w:tabs>
              <w:spacing w:after="0" w:line="0" w:lineRule="atLeast"/>
              <w:jc w:val="left"/>
              <w:outlineLvl w:val="0"/>
              <w:rPr>
                <w:rFonts w:ascii="宋体" w:hAnsi="宋体" w:eastAsia="宋体"/>
                <w:b/>
                <w:sz w:val="21"/>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napToGrid/>
        <w:spacing w:after="120" w:line="260" w:lineRule="exact"/>
        <w:ind w:left="738" w:right="0" w:rightChars="0" w:hanging="738" w:hangingChars="350"/>
        <w:jc w:val="both"/>
        <w:textAlignment w:val="auto"/>
        <w:outlineLvl w:val="9"/>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napToGrid/>
        <w:spacing w:after="120" w:line="260" w:lineRule="exact"/>
        <w:ind w:left="738" w:right="0" w:rightChars="0" w:hanging="738" w:hangingChars="350"/>
        <w:jc w:val="both"/>
        <w:textAlignment w:val="auto"/>
        <w:outlineLvl w:val="9"/>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napToGrid/>
        <w:spacing w:after="120" w:line="260" w:lineRule="exact"/>
        <w:ind w:left="738" w:right="0" w:rightChars="0" w:hanging="738" w:hangingChars="350"/>
        <w:jc w:val="both"/>
        <w:textAlignment w:val="auto"/>
        <w:outlineLvl w:val="9"/>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napToGrid/>
        <w:spacing w:after="120" w:line="260" w:lineRule="exact"/>
        <w:ind w:right="0" w:rightChars="0"/>
        <w:jc w:val="both"/>
        <w:textAlignment w:val="auto"/>
        <w:outlineLvl w:val="9"/>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footerReference r:id="rId3" w:type="default"/>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 w:name="方正书宋简体">
    <w:altName w:val="宋体"/>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0364A"/>
    <w:multiLevelType w:val="singleLevel"/>
    <w:tmpl w:val="59B0364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1441"/>
    <w:rsid w:val="00004A6D"/>
    <w:rsid w:val="000073D0"/>
    <w:rsid w:val="00033C7D"/>
    <w:rsid w:val="00036AF3"/>
    <w:rsid w:val="00041A32"/>
    <w:rsid w:val="000471C6"/>
    <w:rsid w:val="00047A12"/>
    <w:rsid w:val="000538AD"/>
    <w:rsid w:val="000576D6"/>
    <w:rsid w:val="00061F27"/>
    <w:rsid w:val="0006230F"/>
    <w:rsid w:val="00064267"/>
    <w:rsid w:val="0006698D"/>
    <w:rsid w:val="000679AD"/>
    <w:rsid w:val="0007472A"/>
    <w:rsid w:val="00080AA4"/>
    <w:rsid w:val="00085E3A"/>
    <w:rsid w:val="00086C0E"/>
    <w:rsid w:val="00087B74"/>
    <w:rsid w:val="000908FE"/>
    <w:rsid w:val="00090FAC"/>
    <w:rsid w:val="000950D7"/>
    <w:rsid w:val="0009548B"/>
    <w:rsid w:val="000A17C0"/>
    <w:rsid w:val="000B2633"/>
    <w:rsid w:val="000B2E1A"/>
    <w:rsid w:val="000B5E39"/>
    <w:rsid w:val="000B626E"/>
    <w:rsid w:val="000C2407"/>
    <w:rsid w:val="000C2D4A"/>
    <w:rsid w:val="000D02F1"/>
    <w:rsid w:val="000E0AE8"/>
    <w:rsid w:val="000E52C1"/>
    <w:rsid w:val="000E704D"/>
    <w:rsid w:val="000F3C45"/>
    <w:rsid w:val="000F7F78"/>
    <w:rsid w:val="001058D0"/>
    <w:rsid w:val="00113514"/>
    <w:rsid w:val="0011603F"/>
    <w:rsid w:val="00122307"/>
    <w:rsid w:val="001258DD"/>
    <w:rsid w:val="00131556"/>
    <w:rsid w:val="0013693E"/>
    <w:rsid w:val="00141EC8"/>
    <w:rsid w:val="0014311A"/>
    <w:rsid w:val="001455E0"/>
    <w:rsid w:val="00150E03"/>
    <w:rsid w:val="00155E5A"/>
    <w:rsid w:val="0015626E"/>
    <w:rsid w:val="00171228"/>
    <w:rsid w:val="0017326E"/>
    <w:rsid w:val="00174D36"/>
    <w:rsid w:val="00187D39"/>
    <w:rsid w:val="001A54DD"/>
    <w:rsid w:val="001A5ECE"/>
    <w:rsid w:val="001B31E9"/>
    <w:rsid w:val="001B38A9"/>
    <w:rsid w:val="001B5634"/>
    <w:rsid w:val="001B7098"/>
    <w:rsid w:val="001C0173"/>
    <w:rsid w:val="001D28E8"/>
    <w:rsid w:val="001D4468"/>
    <w:rsid w:val="001E10E5"/>
    <w:rsid w:val="001E124D"/>
    <w:rsid w:val="001E3F30"/>
    <w:rsid w:val="001F20BC"/>
    <w:rsid w:val="001F3A94"/>
    <w:rsid w:val="001F4BCB"/>
    <w:rsid w:val="0020141D"/>
    <w:rsid w:val="00203FF0"/>
    <w:rsid w:val="0020474D"/>
    <w:rsid w:val="002111AE"/>
    <w:rsid w:val="00211AE2"/>
    <w:rsid w:val="0021290D"/>
    <w:rsid w:val="00225A30"/>
    <w:rsid w:val="00227119"/>
    <w:rsid w:val="002277AA"/>
    <w:rsid w:val="00232F54"/>
    <w:rsid w:val="0024107F"/>
    <w:rsid w:val="00241AA0"/>
    <w:rsid w:val="002428E4"/>
    <w:rsid w:val="00246566"/>
    <w:rsid w:val="00247F6F"/>
    <w:rsid w:val="002550A4"/>
    <w:rsid w:val="00262413"/>
    <w:rsid w:val="00263015"/>
    <w:rsid w:val="00267EE9"/>
    <w:rsid w:val="002869AE"/>
    <w:rsid w:val="00287BDD"/>
    <w:rsid w:val="00292A61"/>
    <w:rsid w:val="002B1530"/>
    <w:rsid w:val="002B18BC"/>
    <w:rsid w:val="002B1FF6"/>
    <w:rsid w:val="002B42EB"/>
    <w:rsid w:val="002C2305"/>
    <w:rsid w:val="002C23E9"/>
    <w:rsid w:val="002C3937"/>
    <w:rsid w:val="002C3D22"/>
    <w:rsid w:val="002C457A"/>
    <w:rsid w:val="002D1E80"/>
    <w:rsid w:val="002D49B7"/>
    <w:rsid w:val="002D5C18"/>
    <w:rsid w:val="002E27E1"/>
    <w:rsid w:val="002E2FDA"/>
    <w:rsid w:val="002E355D"/>
    <w:rsid w:val="002E77E8"/>
    <w:rsid w:val="002E7E11"/>
    <w:rsid w:val="002F1241"/>
    <w:rsid w:val="00302A6B"/>
    <w:rsid w:val="00302BCB"/>
    <w:rsid w:val="003044FA"/>
    <w:rsid w:val="00315032"/>
    <w:rsid w:val="003151DB"/>
    <w:rsid w:val="00315B63"/>
    <w:rsid w:val="00316504"/>
    <w:rsid w:val="003169B4"/>
    <w:rsid w:val="0034134F"/>
    <w:rsid w:val="00346429"/>
    <w:rsid w:val="003470D1"/>
    <w:rsid w:val="003549EF"/>
    <w:rsid w:val="003559C5"/>
    <w:rsid w:val="00364553"/>
    <w:rsid w:val="00370BD8"/>
    <w:rsid w:val="00372F95"/>
    <w:rsid w:val="0037533B"/>
    <w:rsid w:val="0037561C"/>
    <w:rsid w:val="003961BA"/>
    <w:rsid w:val="00397372"/>
    <w:rsid w:val="003B2324"/>
    <w:rsid w:val="003B3491"/>
    <w:rsid w:val="003B63AE"/>
    <w:rsid w:val="003B6829"/>
    <w:rsid w:val="003B7BF4"/>
    <w:rsid w:val="003C1476"/>
    <w:rsid w:val="003C2495"/>
    <w:rsid w:val="003C66D8"/>
    <w:rsid w:val="003C779F"/>
    <w:rsid w:val="003C7931"/>
    <w:rsid w:val="003D128D"/>
    <w:rsid w:val="003D3EF7"/>
    <w:rsid w:val="003D5DCC"/>
    <w:rsid w:val="003E03BD"/>
    <w:rsid w:val="003E211A"/>
    <w:rsid w:val="003E2F8B"/>
    <w:rsid w:val="003E66A6"/>
    <w:rsid w:val="003F27A3"/>
    <w:rsid w:val="003F2950"/>
    <w:rsid w:val="003F311E"/>
    <w:rsid w:val="003F33A4"/>
    <w:rsid w:val="0041076B"/>
    <w:rsid w:val="00412E32"/>
    <w:rsid w:val="00412E73"/>
    <w:rsid w:val="00413D10"/>
    <w:rsid w:val="004141BF"/>
    <w:rsid w:val="00414FC8"/>
    <w:rsid w:val="004172A2"/>
    <w:rsid w:val="0042340B"/>
    <w:rsid w:val="00430F9F"/>
    <w:rsid w:val="00431501"/>
    <w:rsid w:val="00433F56"/>
    <w:rsid w:val="004433A5"/>
    <w:rsid w:val="00444896"/>
    <w:rsid w:val="00451125"/>
    <w:rsid w:val="004514AD"/>
    <w:rsid w:val="00452C2F"/>
    <w:rsid w:val="00456C4D"/>
    <w:rsid w:val="00457E42"/>
    <w:rsid w:val="004604B5"/>
    <w:rsid w:val="00466573"/>
    <w:rsid w:val="004700D6"/>
    <w:rsid w:val="004707B9"/>
    <w:rsid w:val="004719C4"/>
    <w:rsid w:val="00476241"/>
    <w:rsid w:val="004854C9"/>
    <w:rsid w:val="00491656"/>
    <w:rsid w:val="00495195"/>
    <w:rsid w:val="00496C3D"/>
    <w:rsid w:val="0049725C"/>
    <w:rsid w:val="004A4441"/>
    <w:rsid w:val="004A45FC"/>
    <w:rsid w:val="004A4DC0"/>
    <w:rsid w:val="004B0234"/>
    <w:rsid w:val="004B183C"/>
    <w:rsid w:val="004B3994"/>
    <w:rsid w:val="004B44B4"/>
    <w:rsid w:val="004B51A3"/>
    <w:rsid w:val="004B58C6"/>
    <w:rsid w:val="004B6B48"/>
    <w:rsid w:val="004C07F4"/>
    <w:rsid w:val="004C6A11"/>
    <w:rsid w:val="004C6A13"/>
    <w:rsid w:val="004E0481"/>
    <w:rsid w:val="004E2318"/>
    <w:rsid w:val="004E25B3"/>
    <w:rsid w:val="004E5A35"/>
    <w:rsid w:val="004E7804"/>
    <w:rsid w:val="004F1A21"/>
    <w:rsid w:val="004F2D5F"/>
    <w:rsid w:val="00500BB3"/>
    <w:rsid w:val="00512AD4"/>
    <w:rsid w:val="0051401D"/>
    <w:rsid w:val="005170EB"/>
    <w:rsid w:val="00527B1E"/>
    <w:rsid w:val="00540738"/>
    <w:rsid w:val="00541C7A"/>
    <w:rsid w:val="005431D7"/>
    <w:rsid w:val="00544C9A"/>
    <w:rsid w:val="00545427"/>
    <w:rsid w:val="00556095"/>
    <w:rsid w:val="00557CE0"/>
    <w:rsid w:val="00562D6B"/>
    <w:rsid w:val="005639AB"/>
    <w:rsid w:val="00575FC9"/>
    <w:rsid w:val="00576B01"/>
    <w:rsid w:val="0058043D"/>
    <w:rsid w:val="0058586D"/>
    <w:rsid w:val="005911D3"/>
    <w:rsid w:val="005949E8"/>
    <w:rsid w:val="0059687A"/>
    <w:rsid w:val="005B1A2E"/>
    <w:rsid w:val="005B392A"/>
    <w:rsid w:val="005B3C4D"/>
    <w:rsid w:val="005D2390"/>
    <w:rsid w:val="005D74D0"/>
    <w:rsid w:val="005E3216"/>
    <w:rsid w:val="005E38E4"/>
    <w:rsid w:val="005F174F"/>
    <w:rsid w:val="005F1CB1"/>
    <w:rsid w:val="005F40F8"/>
    <w:rsid w:val="005F5CF0"/>
    <w:rsid w:val="006018E5"/>
    <w:rsid w:val="006038AD"/>
    <w:rsid w:val="00606621"/>
    <w:rsid w:val="00614E0A"/>
    <w:rsid w:val="006166B3"/>
    <w:rsid w:val="00617A69"/>
    <w:rsid w:val="006223FA"/>
    <w:rsid w:val="0062495C"/>
    <w:rsid w:val="0063410F"/>
    <w:rsid w:val="006341A0"/>
    <w:rsid w:val="006452E0"/>
    <w:rsid w:val="0065651C"/>
    <w:rsid w:val="00667ED8"/>
    <w:rsid w:val="00673BDC"/>
    <w:rsid w:val="00681FDA"/>
    <w:rsid w:val="00682F55"/>
    <w:rsid w:val="00683DFB"/>
    <w:rsid w:val="0068477B"/>
    <w:rsid w:val="006950BE"/>
    <w:rsid w:val="006962D1"/>
    <w:rsid w:val="006A2CAD"/>
    <w:rsid w:val="006A57B1"/>
    <w:rsid w:val="006B26E0"/>
    <w:rsid w:val="006B7981"/>
    <w:rsid w:val="006C7B2C"/>
    <w:rsid w:val="006D04D2"/>
    <w:rsid w:val="006D5DEB"/>
    <w:rsid w:val="006E5023"/>
    <w:rsid w:val="006F41B7"/>
    <w:rsid w:val="006F5D71"/>
    <w:rsid w:val="006F7260"/>
    <w:rsid w:val="00701C03"/>
    <w:rsid w:val="00701D56"/>
    <w:rsid w:val="007177E7"/>
    <w:rsid w:val="007255E0"/>
    <w:rsid w:val="00735FDE"/>
    <w:rsid w:val="0074269A"/>
    <w:rsid w:val="00744D9B"/>
    <w:rsid w:val="0075313E"/>
    <w:rsid w:val="00753E71"/>
    <w:rsid w:val="00754A3C"/>
    <w:rsid w:val="00756B00"/>
    <w:rsid w:val="007635ED"/>
    <w:rsid w:val="00766ACB"/>
    <w:rsid w:val="00770F0D"/>
    <w:rsid w:val="00772D45"/>
    <w:rsid w:val="00773856"/>
    <w:rsid w:val="00776AF2"/>
    <w:rsid w:val="007807D1"/>
    <w:rsid w:val="00785779"/>
    <w:rsid w:val="0078654D"/>
    <w:rsid w:val="00787394"/>
    <w:rsid w:val="00790836"/>
    <w:rsid w:val="007918A7"/>
    <w:rsid w:val="007A154B"/>
    <w:rsid w:val="007A51C7"/>
    <w:rsid w:val="007A51D4"/>
    <w:rsid w:val="007A6CC5"/>
    <w:rsid w:val="007B0C9B"/>
    <w:rsid w:val="007C288B"/>
    <w:rsid w:val="007C2C15"/>
    <w:rsid w:val="007D185F"/>
    <w:rsid w:val="007E2089"/>
    <w:rsid w:val="007F4895"/>
    <w:rsid w:val="007F4F92"/>
    <w:rsid w:val="00805905"/>
    <w:rsid w:val="00806A41"/>
    <w:rsid w:val="0081362B"/>
    <w:rsid w:val="008147FF"/>
    <w:rsid w:val="00815F78"/>
    <w:rsid w:val="008160EE"/>
    <w:rsid w:val="00827AB2"/>
    <w:rsid w:val="00841DB4"/>
    <w:rsid w:val="0084553C"/>
    <w:rsid w:val="008466D4"/>
    <w:rsid w:val="00846B38"/>
    <w:rsid w:val="008512DF"/>
    <w:rsid w:val="00851445"/>
    <w:rsid w:val="00852A6D"/>
    <w:rsid w:val="00855020"/>
    <w:rsid w:val="008566E6"/>
    <w:rsid w:val="00861D3F"/>
    <w:rsid w:val="00863E5C"/>
    <w:rsid w:val="00871AF9"/>
    <w:rsid w:val="0088151F"/>
    <w:rsid w:val="00885E54"/>
    <w:rsid w:val="00885EED"/>
    <w:rsid w:val="008913DE"/>
    <w:rsid w:val="0089142B"/>
    <w:rsid w:val="00891436"/>
    <w:rsid w:val="00892ADC"/>
    <w:rsid w:val="00892D8A"/>
    <w:rsid w:val="0089553E"/>
    <w:rsid w:val="00896971"/>
    <w:rsid w:val="00897AFB"/>
    <w:rsid w:val="008A10B3"/>
    <w:rsid w:val="008A2CBB"/>
    <w:rsid w:val="008B49F5"/>
    <w:rsid w:val="008B5A74"/>
    <w:rsid w:val="008C4E46"/>
    <w:rsid w:val="008C68C3"/>
    <w:rsid w:val="008D274E"/>
    <w:rsid w:val="008E0172"/>
    <w:rsid w:val="008F3CE4"/>
    <w:rsid w:val="008F6642"/>
    <w:rsid w:val="00903FE9"/>
    <w:rsid w:val="00911A70"/>
    <w:rsid w:val="00916FD7"/>
    <w:rsid w:val="00917C66"/>
    <w:rsid w:val="00931310"/>
    <w:rsid w:val="00931FE8"/>
    <w:rsid w:val="009349EE"/>
    <w:rsid w:val="009407C1"/>
    <w:rsid w:val="00940933"/>
    <w:rsid w:val="009437A9"/>
    <w:rsid w:val="009460A6"/>
    <w:rsid w:val="009473B0"/>
    <w:rsid w:val="009537D7"/>
    <w:rsid w:val="0095615C"/>
    <w:rsid w:val="009606F7"/>
    <w:rsid w:val="00963243"/>
    <w:rsid w:val="00965B5E"/>
    <w:rsid w:val="0096629C"/>
    <w:rsid w:val="00975AA6"/>
    <w:rsid w:val="009815F6"/>
    <w:rsid w:val="00986A80"/>
    <w:rsid w:val="00987948"/>
    <w:rsid w:val="00991817"/>
    <w:rsid w:val="009927AB"/>
    <w:rsid w:val="00996864"/>
    <w:rsid w:val="009A2B5C"/>
    <w:rsid w:val="009A4ABD"/>
    <w:rsid w:val="009B1339"/>
    <w:rsid w:val="009B3EAE"/>
    <w:rsid w:val="009B521B"/>
    <w:rsid w:val="009C024F"/>
    <w:rsid w:val="009C3354"/>
    <w:rsid w:val="009C4908"/>
    <w:rsid w:val="009C70C8"/>
    <w:rsid w:val="009C7FBA"/>
    <w:rsid w:val="009D1970"/>
    <w:rsid w:val="009D3079"/>
    <w:rsid w:val="009D7EF1"/>
    <w:rsid w:val="009F5988"/>
    <w:rsid w:val="00A056FA"/>
    <w:rsid w:val="00A20E6C"/>
    <w:rsid w:val="00A40B84"/>
    <w:rsid w:val="00A4543C"/>
    <w:rsid w:val="00A50094"/>
    <w:rsid w:val="00A52C95"/>
    <w:rsid w:val="00A659A5"/>
    <w:rsid w:val="00A73A8F"/>
    <w:rsid w:val="00A75AE5"/>
    <w:rsid w:val="00A76833"/>
    <w:rsid w:val="00A81AB3"/>
    <w:rsid w:val="00A8235A"/>
    <w:rsid w:val="00A8450A"/>
    <w:rsid w:val="00A84D68"/>
    <w:rsid w:val="00A85774"/>
    <w:rsid w:val="00A92941"/>
    <w:rsid w:val="00A96B5C"/>
    <w:rsid w:val="00A97ED1"/>
    <w:rsid w:val="00AA199F"/>
    <w:rsid w:val="00AA7E3E"/>
    <w:rsid w:val="00AB00C2"/>
    <w:rsid w:val="00AC0B28"/>
    <w:rsid w:val="00AC4907"/>
    <w:rsid w:val="00AC6670"/>
    <w:rsid w:val="00AC7D62"/>
    <w:rsid w:val="00AD5B92"/>
    <w:rsid w:val="00AD5E60"/>
    <w:rsid w:val="00AE19E3"/>
    <w:rsid w:val="00AE1F85"/>
    <w:rsid w:val="00AE28D2"/>
    <w:rsid w:val="00AE48DD"/>
    <w:rsid w:val="00AE4B84"/>
    <w:rsid w:val="00AF0DC1"/>
    <w:rsid w:val="00B053EC"/>
    <w:rsid w:val="00B076F8"/>
    <w:rsid w:val="00B15929"/>
    <w:rsid w:val="00B1758F"/>
    <w:rsid w:val="00B1777C"/>
    <w:rsid w:val="00B20141"/>
    <w:rsid w:val="00B22829"/>
    <w:rsid w:val="00B2417F"/>
    <w:rsid w:val="00B2498F"/>
    <w:rsid w:val="00B27FDD"/>
    <w:rsid w:val="00B401EA"/>
    <w:rsid w:val="00B44BF9"/>
    <w:rsid w:val="00B47834"/>
    <w:rsid w:val="00B504DE"/>
    <w:rsid w:val="00B540B4"/>
    <w:rsid w:val="00B66E73"/>
    <w:rsid w:val="00B71C1B"/>
    <w:rsid w:val="00B737A8"/>
    <w:rsid w:val="00B91478"/>
    <w:rsid w:val="00BA022E"/>
    <w:rsid w:val="00BA0BA3"/>
    <w:rsid w:val="00BA1E68"/>
    <w:rsid w:val="00BB0CBF"/>
    <w:rsid w:val="00BB35F5"/>
    <w:rsid w:val="00BB3901"/>
    <w:rsid w:val="00BC0995"/>
    <w:rsid w:val="00BC65F4"/>
    <w:rsid w:val="00BD5161"/>
    <w:rsid w:val="00BD51C8"/>
    <w:rsid w:val="00BD5E19"/>
    <w:rsid w:val="00BE3A1B"/>
    <w:rsid w:val="00BE7E03"/>
    <w:rsid w:val="00BF0A2D"/>
    <w:rsid w:val="00BF5EDE"/>
    <w:rsid w:val="00C03B4F"/>
    <w:rsid w:val="00C0636E"/>
    <w:rsid w:val="00C162AD"/>
    <w:rsid w:val="00C20099"/>
    <w:rsid w:val="00C311DA"/>
    <w:rsid w:val="00C351E9"/>
    <w:rsid w:val="00C36FE7"/>
    <w:rsid w:val="00C37AA4"/>
    <w:rsid w:val="00C40C9D"/>
    <w:rsid w:val="00C41D05"/>
    <w:rsid w:val="00C470AA"/>
    <w:rsid w:val="00C47E08"/>
    <w:rsid w:val="00C5088E"/>
    <w:rsid w:val="00C51D7C"/>
    <w:rsid w:val="00C550A5"/>
    <w:rsid w:val="00C573F5"/>
    <w:rsid w:val="00C65946"/>
    <w:rsid w:val="00C705DD"/>
    <w:rsid w:val="00C733E9"/>
    <w:rsid w:val="00C76FA2"/>
    <w:rsid w:val="00C85CD9"/>
    <w:rsid w:val="00C873EC"/>
    <w:rsid w:val="00CA1AB8"/>
    <w:rsid w:val="00CA5C42"/>
    <w:rsid w:val="00CB094C"/>
    <w:rsid w:val="00CC4A46"/>
    <w:rsid w:val="00CC534C"/>
    <w:rsid w:val="00CD2F8F"/>
    <w:rsid w:val="00CE176C"/>
    <w:rsid w:val="00CE7FE3"/>
    <w:rsid w:val="00CF5424"/>
    <w:rsid w:val="00D00FCB"/>
    <w:rsid w:val="00D02ADB"/>
    <w:rsid w:val="00D05784"/>
    <w:rsid w:val="00D143EE"/>
    <w:rsid w:val="00D2200B"/>
    <w:rsid w:val="00D24C74"/>
    <w:rsid w:val="00D31971"/>
    <w:rsid w:val="00D33A8E"/>
    <w:rsid w:val="00D358AB"/>
    <w:rsid w:val="00D4167F"/>
    <w:rsid w:val="00D41C08"/>
    <w:rsid w:val="00D45246"/>
    <w:rsid w:val="00D534C7"/>
    <w:rsid w:val="00D558EF"/>
    <w:rsid w:val="00D6062B"/>
    <w:rsid w:val="00D62B41"/>
    <w:rsid w:val="00D66978"/>
    <w:rsid w:val="00D80FF9"/>
    <w:rsid w:val="00D81B9E"/>
    <w:rsid w:val="00D848F5"/>
    <w:rsid w:val="00D945F5"/>
    <w:rsid w:val="00DA3AF0"/>
    <w:rsid w:val="00DA41C9"/>
    <w:rsid w:val="00DA5690"/>
    <w:rsid w:val="00DA5D2D"/>
    <w:rsid w:val="00DA73E4"/>
    <w:rsid w:val="00DB45CF"/>
    <w:rsid w:val="00DB5724"/>
    <w:rsid w:val="00DD072D"/>
    <w:rsid w:val="00DE777B"/>
    <w:rsid w:val="00DF24E8"/>
    <w:rsid w:val="00DF4B34"/>
    <w:rsid w:val="00DF566A"/>
    <w:rsid w:val="00DF5C03"/>
    <w:rsid w:val="00DF7AFF"/>
    <w:rsid w:val="00E0505F"/>
    <w:rsid w:val="00E100A1"/>
    <w:rsid w:val="00E11832"/>
    <w:rsid w:val="00E12299"/>
    <w:rsid w:val="00E14DD3"/>
    <w:rsid w:val="00E24C2F"/>
    <w:rsid w:val="00E27D04"/>
    <w:rsid w:val="00E27F67"/>
    <w:rsid w:val="00E30CCE"/>
    <w:rsid w:val="00E33CCB"/>
    <w:rsid w:val="00E36E7C"/>
    <w:rsid w:val="00E376F7"/>
    <w:rsid w:val="00E413E8"/>
    <w:rsid w:val="00E4435B"/>
    <w:rsid w:val="00E479AA"/>
    <w:rsid w:val="00E50306"/>
    <w:rsid w:val="00E53E23"/>
    <w:rsid w:val="00E54B9C"/>
    <w:rsid w:val="00E55531"/>
    <w:rsid w:val="00E55AFD"/>
    <w:rsid w:val="00E56135"/>
    <w:rsid w:val="00E60C46"/>
    <w:rsid w:val="00E66B29"/>
    <w:rsid w:val="00E715EC"/>
    <w:rsid w:val="00E80264"/>
    <w:rsid w:val="00E84782"/>
    <w:rsid w:val="00E86730"/>
    <w:rsid w:val="00E935AE"/>
    <w:rsid w:val="00E95197"/>
    <w:rsid w:val="00EA5046"/>
    <w:rsid w:val="00EA73DB"/>
    <w:rsid w:val="00EB4941"/>
    <w:rsid w:val="00EC49DB"/>
    <w:rsid w:val="00EC5975"/>
    <w:rsid w:val="00EC64C5"/>
    <w:rsid w:val="00ED0700"/>
    <w:rsid w:val="00ED3FCA"/>
    <w:rsid w:val="00ED52D1"/>
    <w:rsid w:val="00ED636A"/>
    <w:rsid w:val="00EE3716"/>
    <w:rsid w:val="00EF064F"/>
    <w:rsid w:val="00EF312B"/>
    <w:rsid w:val="00EF4B17"/>
    <w:rsid w:val="00F16511"/>
    <w:rsid w:val="00F24279"/>
    <w:rsid w:val="00F31667"/>
    <w:rsid w:val="00F50640"/>
    <w:rsid w:val="00F52A8A"/>
    <w:rsid w:val="00F53C74"/>
    <w:rsid w:val="00F55EDD"/>
    <w:rsid w:val="00F617C2"/>
    <w:rsid w:val="00F6455B"/>
    <w:rsid w:val="00F70B21"/>
    <w:rsid w:val="00F73FCD"/>
    <w:rsid w:val="00F83471"/>
    <w:rsid w:val="00F94E88"/>
    <w:rsid w:val="00F96D96"/>
    <w:rsid w:val="00FA4DD0"/>
    <w:rsid w:val="00FB0E5D"/>
    <w:rsid w:val="00FB40FF"/>
    <w:rsid w:val="00FB43FE"/>
    <w:rsid w:val="00FB68F9"/>
    <w:rsid w:val="00FC02B4"/>
    <w:rsid w:val="00FC27E0"/>
    <w:rsid w:val="00FC5E11"/>
    <w:rsid w:val="00FC7572"/>
    <w:rsid w:val="00FC7E68"/>
    <w:rsid w:val="00FD1062"/>
    <w:rsid w:val="00FD143D"/>
    <w:rsid w:val="00FE22C8"/>
    <w:rsid w:val="00FE48FF"/>
    <w:rsid w:val="00FF2988"/>
    <w:rsid w:val="00FF61AE"/>
    <w:rsid w:val="266C4C47"/>
    <w:rsid w:val="276533B8"/>
    <w:rsid w:val="28AD1D92"/>
    <w:rsid w:val="2C23799B"/>
    <w:rsid w:val="2C2848C1"/>
    <w:rsid w:val="35FF7FE8"/>
    <w:rsid w:val="498505BB"/>
    <w:rsid w:val="61293077"/>
    <w:rsid w:val="62602DFF"/>
    <w:rsid w:val="72D45AF0"/>
    <w:rsid w:val="76531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360" w:lineRule="exact"/>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6"/>
    <w:qFormat/>
    <w:uiPriority w:val="0"/>
    <w:pPr>
      <w:spacing w:after="0"/>
    </w:pPr>
    <w:rPr>
      <w:sz w:val="18"/>
      <w:szCs w:val="18"/>
    </w:r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unhideWhenUsed/>
    <w:qFormat/>
    <w:uiPriority w:val="0"/>
    <w:rPr>
      <w:color w:val="000000"/>
      <w:u w:val="none"/>
    </w:rPr>
  </w:style>
  <w:style w:type="character" w:styleId="7">
    <w:name w:val="Hyperlink"/>
    <w:basedOn w:val="5"/>
    <w:unhideWhenUsed/>
    <w:uiPriority w:val="0"/>
    <w:rPr>
      <w:color w:val="0563C1" w:themeColor="hyperlink"/>
      <w:u w:val="single"/>
      <w14:textFill>
        <w14:solidFill>
          <w14:schemeClr w14:val="hlink"/>
        </w14:solidFill>
      </w14:textFill>
    </w:rPr>
  </w:style>
  <w:style w:type="character" w:styleId="8">
    <w:name w:val="HTML Code"/>
    <w:basedOn w:val="5"/>
    <w:unhideWhenUsed/>
    <w:qFormat/>
    <w:uiPriority w:val="0"/>
    <w:rPr>
      <w:rFonts w:ascii="Courier New" w:hAnsi="Courier New"/>
      <w:sz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2">
    <w:name w:val="fontstyle01"/>
    <w:basedOn w:val="5"/>
    <w:qFormat/>
    <w:uiPriority w:val="0"/>
    <w:rPr>
      <w:rFonts w:ascii="CIDFont + F2" w:hAnsi="CIDFont + F2" w:eastAsia="CIDFont + F2" w:cs="CIDFont + F2"/>
      <w:color w:val="000000"/>
      <w:sz w:val="20"/>
      <w:szCs w:val="20"/>
    </w:rPr>
  </w:style>
  <w:style w:type="character" w:customStyle="1" w:styleId="13">
    <w:name w:val="页眉 Char"/>
    <w:basedOn w:val="5"/>
    <w:link w:val="4"/>
    <w:qFormat/>
    <w:uiPriority w:val="0"/>
    <w:rPr>
      <w:rFonts w:eastAsia="PMingLiU"/>
      <w:sz w:val="18"/>
      <w:szCs w:val="18"/>
      <w:lang w:eastAsia="en-US"/>
    </w:rPr>
  </w:style>
  <w:style w:type="character" w:customStyle="1" w:styleId="14">
    <w:name w:val="页脚 Char"/>
    <w:basedOn w:val="5"/>
    <w:link w:val="3"/>
    <w:qFormat/>
    <w:uiPriority w:val="0"/>
    <w:rPr>
      <w:rFonts w:eastAsia="PMingLiU"/>
      <w:sz w:val="18"/>
      <w:szCs w:val="18"/>
      <w:lang w:eastAsia="en-US"/>
    </w:rPr>
  </w:style>
  <w:style w:type="paragraph" w:customStyle="1" w:styleId="15">
    <w:name w:val="List Paragraph"/>
    <w:basedOn w:val="1"/>
    <w:unhideWhenUsed/>
    <w:qFormat/>
    <w:uiPriority w:val="34"/>
    <w:pPr>
      <w:ind w:firstLine="420" w:firstLineChars="200"/>
    </w:pPr>
  </w:style>
  <w:style w:type="character" w:customStyle="1" w:styleId="16">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4297D-5831-4065-9D6A-CD7B98ECDC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566</Words>
  <Characters>3232</Characters>
  <Lines>26</Lines>
  <Paragraphs>7</Paragraphs>
  <ScaleCrop>false</ScaleCrop>
  <LinksUpToDate>false</LinksUpToDate>
  <CharactersWithSpaces>3791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2017-09-04T06:39:00Z</dcterms:created>
  <dc:creator>lenovo</dc:creator>
  <cp:lastModifiedBy>Administrator</cp:lastModifiedBy>
  <cp:lastPrinted>2017-01-05T16:24:00Z</cp:lastPrinted>
  <dcterms:modified xsi:type="dcterms:W3CDTF">2018-03-06T19:18:45Z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